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249" w:lineRule="auto"/>
        <w:ind w:right="1600"/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附件：</w:t>
      </w:r>
      <w:r>
        <w:rPr>
          <w:rFonts w:hint="eastAsia"/>
          <w:b/>
          <w:bCs/>
          <w:sz w:val="28"/>
          <w:szCs w:val="28"/>
          <w:lang w:eastAsia="zh-CN"/>
        </w:rPr>
        <w:t>采购需求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单道移液器技术参数</w:t>
      </w:r>
    </w:p>
    <w:p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一、主要用途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移取液体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</w:rPr>
        <w:t>、性能与参数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移液器采用高科技材质结合先进的生产工艺流程，满足高精准度移液要求，同时符合人体工程学设计且操作灵活、经久耐用、安全可靠，适用于多种液体处理操作。</w:t>
      </w:r>
    </w:p>
    <w:p>
      <w:pPr>
        <w:pStyle w:val="6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产品主要特性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采用Perfect Piston™系统的高科技材质，重量轻（仅约80g），操作力小，坚固耐用，耐高温抗腐蚀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可整支高温高压灭菌和紫外线灭菌，操作更安全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人体工程学设计，显著减少手、手臂和肩膀用力，避免手部重复性劳损（RSI）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下半支可徒手拆卸，便于清洁保养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伸缩式弹性吸嘴设计，确保吸头装配的气密性和移液均一性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四位数字放大体积显示，可精准设置移液体积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体积视窗位置合理（在前面），便于移液观察，可单手设定体积及操作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独有密度调节窗口，适用于不同密度的液体 ，通用性更广泛  </w:t>
      </w:r>
    </w:p>
    <w:p>
      <w:pPr>
        <w:pStyle w:val="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量程：</w:t>
      </w:r>
      <w:r>
        <w:rPr>
          <w:sz w:val="28"/>
          <w:szCs w:val="28"/>
        </w:rPr>
        <w:t xml:space="preserve"> 不同量程选择，全面满足不同使用需求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颜色标识移液器量程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RFID 数据芯片读取功能，可读取数据进行追踪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多道移液器具备可拆卸的单独通道设计，确保移液精准性，节省维修成本 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多道移液器数字通道标识，保持同一方向移液以确保移液的均一性和精准性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6"/>
        <w:rPr>
          <w:rFonts w:hint="eastAsia" w:cs="Arial"/>
          <w:szCs w:val="22"/>
        </w:rPr>
      </w:pPr>
      <w:r>
        <w:rPr>
          <w:rFonts w:hint="eastAsia"/>
        </w:rPr>
        <w:t>移液器技术参数</w:t>
      </w:r>
    </w:p>
    <w:p>
      <w:pPr>
        <w:bidi w:val="0"/>
        <w:spacing w:line="360" w:lineRule="auto"/>
        <w:ind w:firstLine="42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hAnsi="宋体" w:cs="Arial"/>
          <w:szCs w:val="22"/>
        </w:rPr>
        <w:t>不准确度和不精确度</w:t>
      </w:r>
    </w:p>
    <w:tbl>
      <w:tblPr>
        <w:tblStyle w:val="4"/>
        <w:tblpPr w:leftFromText="180" w:rightFromText="180" w:vertAnchor="text" w:horzAnchor="page" w:tblpX="1440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1904"/>
        <w:gridCol w:w="1287"/>
        <w:gridCol w:w="1272"/>
        <w:gridCol w:w="951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型号/量程</w:t>
            </w:r>
          </w:p>
        </w:tc>
        <w:tc>
          <w:tcPr>
            <w:tcW w:w="1958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体积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Arial"/>
                <w:b/>
                <w:szCs w:val="22"/>
              </w:rPr>
              <w:t>不准确度</w:t>
            </w:r>
            <w:r>
              <w:rPr>
                <w:rFonts w:cs="Arial"/>
                <w:b/>
                <w:szCs w:val="22"/>
                <w:vertAlign w:val="superscript"/>
              </w:rPr>
              <w:t>*1</w:t>
            </w:r>
          </w:p>
        </w:tc>
        <w:tc>
          <w:tcPr>
            <w:tcW w:w="2322" w:type="dxa"/>
            <w:gridSpan w:val="2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Arial"/>
                <w:b/>
                <w:szCs w:val="22"/>
              </w:rPr>
              <w:t>不精确度</w:t>
            </w:r>
            <w:r>
              <w:rPr>
                <w:rFonts w:cs="Arial"/>
                <w:b/>
                <w:szCs w:val="22"/>
                <w:vertAlign w:val="superscript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vMerge w:val="continue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百分比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量数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百分比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量数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 w:ascii="Lucida Sans" w:hAnsi="Lucida Sans" w:eastAsia="汉仪书宋一简" w:cs="Times New Roman"/>
                <w:sz w:val="22"/>
                <w:vertAlign w:val="baseline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0.5-10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 w:ascii="Lucida Sans" w:hAnsi="Lucida Sans" w:eastAsia="汉仪书宋一简" w:cs="Times New Roman"/>
                <w:sz w:val="22"/>
                <w:vertAlign w:val="baseline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0.5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±8.0%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±0.04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±5.0%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±0.025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±2.5%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±0.025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±1.8%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±0.018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±1.5%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±0.075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±0.8%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±0.4%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2-20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±5.0%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±1.5%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±0.03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±1.2%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±0.06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±0.3%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±0.06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10-100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±3.0%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±0.3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±0.3%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±0.8%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±0.8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20-200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±2.5%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±0.5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±0.7%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±0.14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±1.0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±0.3%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±0.3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±1.2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Lucida Sans" w:hAnsi="Lucida Sans" w:eastAsia="汉仪书宋一简" w:cs="Arial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sz w:val="18"/>
                <w:szCs w:val="18"/>
              </w:rPr>
              <w:t>±0.4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restart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 xml:space="preserve">100-1,000 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（单通道）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±3.0%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±3.0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±5.0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±1.0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2" w:type="dxa"/>
            <w:vMerge w:val="continue"/>
            <w:noWrap w:val="0"/>
            <w:vAlign w:val="center"/>
          </w:tcPr>
          <w:p>
            <w:pPr>
              <w:tabs>
                <w:tab w:val="left" w:pos="2174"/>
              </w:tabs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1,000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±0.6%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±6.0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±0.2%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cs="Arial"/>
                <w:sz w:val="18"/>
                <w:szCs w:val="18"/>
              </w:rPr>
              <w:t>±2.0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>
              <w:rPr>
                <w:rFonts w:cs="Arial"/>
                <w:sz w:val="18"/>
                <w:szCs w:val="18"/>
              </w:rPr>
              <w:t>L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商务要求：</w:t>
      </w:r>
    </w:p>
    <w:p>
      <w:pPr>
        <w:pStyle w:val="7"/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供应商须提供全新、原装，并符合国家质量标准的</w:t>
      </w:r>
      <w:r>
        <w:rPr>
          <w:rFonts w:hint="eastAsia" w:ascii="宋体" w:hAnsi="宋体" w:cs="宋体"/>
          <w:sz w:val="28"/>
          <w:szCs w:val="28"/>
          <w:lang w:eastAsia="zh-CN"/>
        </w:rPr>
        <w:t>设备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</w:t>
      </w:r>
      <w:r>
        <w:rPr>
          <w:rFonts w:hint="eastAsia" w:ascii="宋体" w:hAnsi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供应商所投货物必须提供壹年及以上的质保期，货物质保期另有超过壹年规定的，按其规定执行，须提供承诺函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并加盖公章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7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（三）所有货物的知识产权问题，由各</w:t>
      </w:r>
      <w:r>
        <w:rPr>
          <w:rFonts w:hint="eastAsia" w:ascii="宋体" w:hAnsi="宋体" w:cs="宋体"/>
          <w:sz w:val="28"/>
          <w:szCs w:val="28"/>
          <w:lang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人自行负责。</w:t>
      </w:r>
    </w:p>
    <w:p>
      <w:bookmarkStart w:id="0" w:name="_GoBack"/>
      <w:bookmarkEnd w:id="0"/>
    </w:p>
    <w:sectPr>
      <w:pgSz w:w="11906" w:h="16838"/>
      <w:pgMar w:top="1440" w:right="1519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29741"/>
    <w:multiLevelType w:val="singleLevel"/>
    <w:tmpl w:val="946297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777306"/>
    <w:multiLevelType w:val="multilevel"/>
    <w:tmpl w:val="08777306"/>
    <w:lvl w:ilvl="0" w:tentative="0">
      <w:start w:val="1"/>
      <w:numFmt w:val="decimal"/>
      <w:pStyle w:val="6"/>
      <w:lvlText w:val="%1."/>
      <w:lvlJc w:val="left"/>
      <w:pPr>
        <w:ind w:left="720" w:hanging="360"/>
      </w:pPr>
      <w:rPr>
        <w:rFonts w:hint="default" w:hAnsi="宋体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15C72"/>
    <w:rsid w:val="333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1"/>
      <w:ind w:left="133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2 heading"/>
    <w:basedOn w:val="1"/>
    <w:qFormat/>
    <w:uiPriority w:val="0"/>
    <w:pPr>
      <w:numPr>
        <w:ilvl w:val="0"/>
        <w:numId w:val="1"/>
      </w:numPr>
      <w:ind w:left="360"/>
    </w:pPr>
    <w:rPr>
      <w:rFonts w:cs="Tahoma"/>
      <w:b/>
      <w:szCs w:val="21"/>
    </w:rPr>
  </w:style>
  <w:style w:type="paragraph" w:styleId="7">
    <w:name w:val="List Paragraph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2021-09-23T09:37:00Z</dcterms:created>
  <dc:creator>Administrator</dc:creator>
  <cp:lastModifiedBy>Administrator</cp:lastModifiedBy>
  <dcterms:modified xsi:type="dcterms:W3CDTF">2021-09-23T09:37:58Z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