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4"/>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widowControl/>
        <w:spacing w:beforeAutospacing="1" w:afterAutospacing="1" w:line="360" w:lineRule="auto"/>
        <w:ind w:firstLine="708" w:firstLineChars="196"/>
        <w:jc w:val="left"/>
        <w:rPr>
          <w:rFonts w:hint="default" w:ascii="宋体" w:hAnsi="宋体" w:cs="宋体"/>
          <w:b/>
          <w:kern w:val="0"/>
          <w:sz w:val="36"/>
          <w:szCs w:val="36"/>
          <w:lang w:val="en-US"/>
        </w:rPr>
      </w:pPr>
      <w:r>
        <w:rPr>
          <w:rFonts w:hint="eastAsia" w:ascii="宋体" w:hAnsi="宋体" w:cs="宋体"/>
          <w:b/>
          <w:kern w:val="0"/>
          <w:sz w:val="36"/>
          <w:szCs w:val="36"/>
        </w:rPr>
        <w:t>项目名称：</w:t>
      </w:r>
      <w:r>
        <w:rPr>
          <w:rFonts w:hint="eastAsia" w:ascii="宋体" w:hAnsi="宋体" w:cs="宋体"/>
          <w:b/>
          <w:kern w:val="0"/>
          <w:sz w:val="36"/>
          <w:szCs w:val="36"/>
          <w:lang w:val="en-US" w:eastAsia="zh-CN"/>
        </w:rPr>
        <w:t>信息化硬件运行维护服务项目咨询</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pPr>
        <w:pStyle w:val="4"/>
        <w:ind w:firstLine="0"/>
        <w:rPr>
          <w:rFonts w:ascii="黑体"/>
          <w:kern w:val="0"/>
        </w:rPr>
      </w:pPr>
      <w:bookmarkStart w:id="1" w:name="_Toc485736230"/>
      <w:r>
        <w:rPr>
          <w:rFonts w:hint="eastAsia"/>
          <w:kern w:val="0"/>
        </w:rPr>
        <w:t>一、</w:t>
      </w:r>
      <w:r>
        <w:rPr>
          <w:rFonts w:hint="eastAsia" w:ascii="Arial" w:hAnsi="Arial"/>
          <w:kern w:val="0"/>
          <w:lang w:val="en-US" w:eastAsia="zh-CN"/>
        </w:rPr>
        <w:t>信息</w:t>
      </w:r>
      <w:r>
        <w:rPr>
          <w:rFonts w:hint="eastAsia"/>
          <w:kern w:val="0"/>
          <w:lang w:val="en-US" w:eastAsia="zh-CN"/>
        </w:rPr>
        <w:t>化</w:t>
      </w:r>
      <w:r>
        <w:rPr>
          <w:rFonts w:hint="eastAsia" w:ascii="Arial" w:hAnsi="Arial"/>
          <w:kern w:val="0"/>
          <w:lang w:val="en-US" w:eastAsia="zh-CN"/>
        </w:rPr>
        <w:t>硬件运行维护</w:t>
      </w:r>
      <w:r>
        <w:rPr>
          <w:rFonts w:hint="eastAsia"/>
          <w:kern w:val="0"/>
          <w:lang w:val="en-US" w:eastAsia="zh-CN"/>
        </w:rPr>
        <w:t>服务</w:t>
      </w:r>
      <w:r>
        <w:rPr>
          <w:rFonts w:hint="eastAsia" w:ascii="Arial" w:hAnsi="Arial"/>
          <w:kern w:val="0"/>
          <w:lang w:val="en-US" w:eastAsia="zh-CN"/>
        </w:rPr>
        <w:t>项目</w:t>
      </w:r>
      <w:r>
        <w:rPr>
          <w:rFonts w:hint="eastAsia" w:ascii="Arial" w:hAnsi="Arial"/>
          <w:kern w:val="0"/>
        </w:rPr>
        <w:t>咨询</w:t>
      </w:r>
      <w:r>
        <w:rPr>
          <w:rFonts w:hint="eastAsia"/>
          <w:kern w:val="0"/>
        </w:rPr>
        <w:t>响应函</w:t>
      </w:r>
      <w:bookmarkEnd w:id="1"/>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jc w:val="center"/>
        <w:rPr>
          <w:rFonts w:hint="eastAsia" w:ascii="仿宋" w:hAnsi="仿宋" w:eastAsia="仿宋" w:cs="仿宋"/>
          <w:b/>
          <w:bCs/>
          <w:color w:val="auto"/>
          <w:spacing w:val="16"/>
          <w:sz w:val="24"/>
          <w:highlight w:val="none"/>
          <w:lang w:val="en-US" w:eastAsia="zh-CN"/>
        </w:rPr>
      </w:pPr>
      <w:bookmarkStart w:id="2" w:name="_Toc480191544"/>
      <w:bookmarkStart w:id="3" w:name="_Toc485736233"/>
      <w:bookmarkStart w:id="4" w:name="_Toc265316642"/>
      <w:r>
        <w:rPr>
          <w:rFonts w:hint="eastAsia" w:ascii="Arial" w:hAnsi="Arial" w:eastAsia="黑体" w:cs="Times New Roman"/>
          <w:b/>
          <w:bCs/>
          <w:kern w:val="0"/>
          <w:sz w:val="32"/>
          <w:szCs w:val="32"/>
          <w:lang w:val="en-US" w:eastAsia="zh-CN" w:bidi="ar-SA"/>
        </w:rPr>
        <w:t>二、信息化硬件运行维护服务项目要求及服务项目清单</w:t>
      </w:r>
      <w:bookmarkEnd w:id="2"/>
      <w:bookmarkEnd w:id="3"/>
      <w:bookmarkStart w:id="5" w:name="_Toc519068587"/>
      <w:bookmarkEnd w:id="5"/>
      <w:bookmarkStart w:id="6" w:name="_Toc485736243"/>
      <w:bookmarkStart w:id="7" w:name="_Toc479257748"/>
      <w:bookmarkStart w:id="8" w:name="_Toc485736236"/>
      <w:bookmarkStart w:id="9" w:name="_Toc516969105"/>
    </w:p>
    <w:p>
      <w:pPr>
        <w:spacing w:line="360" w:lineRule="auto"/>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&lt;1&gt;服务外包期限和项目要求：</w:t>
      </w:r>
    </w:p>
    <w:p>
      <w:pPr>
        <w:keepNext w:val="0"/>
        <w:keepLines w:val="0"/>
        <w:pageBreakBefore w:val="0"/>
        <w:widowControl/>
        <w:kinsoku/>
        <w:wordWrap/>
        <w:overflowPunct/>
        <w:topLinePunct w:val="0"/>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1、服务外包期为一年，服务外包项目为专业本地化服务，应体现专业、及时、高效原则，以达到医院提升管理品质和降低医院管理成本的目的。</w:t>
      </w:r>
    </w:p>
    <w:p>
      <w:pPr>
        <w:pStyle w:val="2"/>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2、服务外包范围：赣州市妇幼保健院的全</w:t>
      </w:r>
      <w:r>
        <w:rPr>
          <w:rFonts w:hint="eastAsia" w:ascii="仿宋" w:hAnsi="仿宋" w:eastAsia="仿宋" w:cs="仿宋"/>
          <w:color w:val="000000"/>
          <w:kern w:val="0"/>
          <w:sz w:val="24"/>
          <w:szCs w:val="24"/>
          <w:highlight w:val="none"/>
          <w:lang w:val="en-US" w:eastAsia="zh-CN"/>
        </w:rPr>
        <w:t>院</w:t>
      </w:r>
      <w:r>
        <w:rPr>
          <w:rFonts w:hint="eastAsia" w:ascii="仿宋" w:hAnsi="仿宋" w:eastAsia="仿宋" w:cs="仿宋"/>
          <w:color w:val="000000"/>
          <w:kern w:val="0"/>
          <w:sz w:val="24"/>
          <w:szCs w:val="24"/>
          <w:highlight w:val="none"/>
        </w:rPr>
        <w:t>电脑、打印机、复印机、扫描</w:t>
      </w:r>
      <w:r>
        <w:rPr>
          <w:rFonts w:hint="eastAsia" w:ascii="仿宋" w:hAnsi="仿宋" w:eastAsia="仿宋" w:cs="仿宋"/>
          <w:color w:val="000000"/>
          <w:kern w:val="0"/>
          <w:sz w:val="24"/>
          <w:szCs w:val="24"/>
          <w:highlight w:val="none"/>
          <w:lang w:val="en-US" w:eastAsia="zh-CN"/>
        </w:rPr>
        <w:t>平台</w:t>
      </w:r>
      <w:r>
        <w:rPr>
          <w:rFonts w:hint="eastAsia" w:ascii="仿宋" w:hAnsi="仿宋" w:eastAsia="仿宋" w:cs="仿宋"/>
          <w:color w:val="000000"/>
          <w:kern w:val="0"/>
          <w:sz w:val="24"/>
          <w:szCs w:val="24"/>
          <w:highlight w:val="none"/>
        </w:rPr>
        <w:t>、自助机</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生殖院区）</w:t>
      </w:r>
      <w:r>
        <w:rPr>
          <w:rFonts w:hint="eastAsia" w:ascii="仿宋" w:hAnsi="仿宋" w:eastAsia="仿宋" w:cs="仿宋"/>
          <w:color w:val="000000"/>
          <w:kern w:val="0"/>
          <w:sz w:val="24"/>
          <w:szCs w:val="24"/>
          <w:highlight w:val="none"/>
        </w:rPr>
        <w:t>、内外网络设备、网络边界安全设备、UPS不间断电源、精密空调等设备维护、保养及补丁软件升级服务。全院弱电线路和线路点位，含电话、网络</w:t>
      </w:r>
      <w:r>
        <w:rPr>
          <w:rFonts w:hint="eastAsia" w:ascii="仿宋" w:hAnsi="仿宋" w:eastAsia="仿宋" w:cs="仿宋"/>
          <w:color w:val="000000"/>
          <w:kern w:val="0"/>
          <w:sz w:val="24"/>
          <w:szCs w:val="24"/>
          <w:highlight w:val="none"/>
          <w:lang w:val="en-US" w:eastAsia="zh-CN"/>
        </w:rPr>
        <w:t>的维护。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3、服务外包项目要求：</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color w:val="000000"/>
          <w:kern w:val="0"/>
          <w:sz w:val="24"/>
          <w:szCs w:val="24"/>
          <w:highlight w:val="none"/>
          <w:lang w:eastAsia="zh-CN"/>
        </w:rPr>
      </w:pPr>
      <w:r>
        <w:rPr>
          <w:rFonts w:hint="eastAsia" w:ascii="微软雅黑" w:hAnsi="微软雅黑" w:eastAsia="微软雅黑" w:cs="微软雅黑"/>
          <w:b w:val="0"/>
          <w:bCs w:val="0"/>
          <w:sz w:val="28"/>
          <w:szCs w:val="28"/>
          <w:highlight w:val="none"/>
        </w:rPr>
        <w:t>⑴</w:t>
      </w:r>
      <w:r>
        <w:rPr>
          <w:rFonts w:hint="eastAsia" w:ascii="微软雅黑" w:hAnsi="微软雅黑" w:eastAsia="微软雅黑" w:cs="微软雅黑"/>
          <w:sz w:val="24"/>
          <w:szCs w:val="24"/>
          <w:highlight w:val="none"/>
          <w:lang w:eastAsia="zh-CN"/>
        </w:rPr>
        <w:t>、</w:t>
      </w:r>
      <w:r>
        <w:rPr>
          <w:rFonts w:hint="eastAsia" w:ascii="仿宋" w:hAnsi="仿宋" w:eastAsia="仿宋" w:cs="仿宋"/>
          <w:color w:val="000000"/>
          <w:kern w:val="0"/>
          <w:sz w:val="24"/>
          <w:szCs w:val="24"/>
          <w:highlight w:val="none"/>
        </w:rPr>
        <w:t>服务外包期间内,外包服务商安排专业服务人员日常驻院值班、晚班保障等，</w:t>
      </w:r>
      <w:r>
        <w:rPr>
          <w:rFonts w:hint="eastAsia" w:ascii="仿宋" w:hAnsi="仿宋" w:eastAsia="仿宋" w:cs="仿宋"/>
          <w:color w:val="000000"/>
          <w:kern w:val="0"/>
          <w:sz w:val="24"/>
          <w:szCs w:val="24"/>
          <w:highlight w:val="none"/>
          <w:lang w:val="en-US" w:eastAsia="zh-CN"/>
        </w:rPr>
        <w:t>保障</w:t>
      </w:r>
      <w:r>
        <w:rPr>
          <w:rFonts w:hint="eastAsia" w:ascii="仿宋" w:hAnsi="仿宋" w:eastAsia="仿宋" w:cs="仿宋"/>
          <w:color w:val="000000"/>
          <w:kern w:val="0"/>
          <w:sz w:val="24"/>
          <w:szCs w:val="24"/>
          <w:highlight w:val="none"/>
        </w:rPr>
        <w:t>设备正常运转，外包服务商应具备专业的设备维护技术能力，同时有充足的常用备件库</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常用备机库</w:t>
      </w:r>
      <w:r>
        <w:rPr>
          <w:rFonts w:hint="eastAsia" w:ascii="仿宋" w:hAnsi="仿宋" w:eastAsia="仿宋" w:cs="仿宋"/>
          <w:color w:val="000000"/>
          <w:kern w:val="0"/>
          <w:sz w:val="24"/>
          <w:szCs w:val="24"/>
          <w:highlight w:val="none"/>
        </w:rPr>
        <w:t>和应急方案</w:t>
      </w:r>
      <w:r>
        <w:rPr>
          <w:rFonts w:hint="eastAsia" w:ascii="仿宋" w:hAnsi="仿宋" w:eastAsia="仿宋" w:cs="仿宋"/>
          <w:color w:val="000000"/>
          <w:kern w:val="0"/>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color w:val="000000"/>
          <w:kern w:val="0"/>
          <w:sz w:val="24"/>
          <w:szCs w:val="24"/>
          <w:highlight w:val="none"/>
        </w:rPr>
      </w:pPr>
      <w:r>
        <w:rPr>
          <w:rFonts w:hint="eastAsia" w:ascii="微软雅黑" w:hAnsi="微软雅黑" w:eastAsia="微软雅黑" w:cs="微软雅黑"/>
          <w:sz w:val="28"/>
          <w:szCs w:val="28"/>
          <w:highlight w:val="none"/>
        </w:rPr>
        <w:t>⑵</w:t>
      </w:r>
      <w:r>
        <w:rPr>
          <w:rFonts w:hint="eastAsia" w:ascii="仿宋" w:hAnsi="仿宋" w:eastAsia="仿宋"/>
          <w:color w:val="000000"/>
          <w:kern w:val="0"/>
          <w:sz w:val="24"/>
          <w:szCs w:val="24"/>
          <w:highlight w:val="none"/>
        </w:rPr>
        <w:t>、</w:t>
      </w:r>
      <w:r>
        <w:rPr>
          <w:rFonts w:hint="eastAsia" w:ascii="仿宋" w:hAnsi="仿宋" w:eastAsia="仿宋" w:cs="仿宋"/>
          <w:color w:val="000000"/>
          <w:kern w:val="0"/>
          <w:sz w:val="24"/>
          <w:szCs w:val="24"/>
          <w:highlight w:val="none"/>
        </w:rPr>
        <w:t>每季度对电脑、打印机、复印机等设备巡检、保养，并有记录。</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kern w:val="2"/>
          <w:sz w:val="24"/>
          <w:szCs w:val="24"/>
          <w:highlight w:val="none"/>
          <w:lang w:val="en-US" w:eastAsia="zh-CN"/>
        </w:rPr>
      </w:pPr>
      <w:r>
        <w:rPr>
          <w:rFonts w:hint="eastAsia" w:ascii="微软雅黑" w:hAnsi="微软雅黑" w:eastAsia="微软雅黑" w:cs="微软雅黑"/>
          <w:sz w:val="28"/>
          <w:szCs w:val="28"/>
          <w:highlight w:val="none"/>
        </w:rPr>
        <w:t>⑶</w:t>
      </w:r>
      <w:r>
        <w:rPr>
          <w:rFonts w:hint="eastAsia" w:ascii="仿宋" w:hAnsi="仿宋" w:eastAsia="仿宋"/>
          <w:color w:val="000000"/>
          <w:kern w:val="0"/>
          <w:sz w:val="24"/>
          <w:szCs w:val="24"/>
          <w:highlight w:val="none"/>
        </w:rPr>
        <w:t>、</w:t>
      </w:r>
      <w:r>
        <w:rPr>
          <w:rFonts w:hint="eastAsia" w:ascii="仿宋" w:hAnsi="仿宋" w:eastAsia="仿宋" w:cs="仿宋"/>
          <w:kern w:val="2"/>
          <w:sz w:val="24"/>
          <w:szCs w:val="24"/>
          <w:highlight w:val="none"/>
        </w:rPr>
        <w:t>提供1200个桌面客户端准入安全管理授权，规范内网终端准入及IP地址分配管理</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实现</w:t>
      </w:r>
      <w:r>
        <w:rPr>
          <w:rFonts w:hint="eastAsia" w:ascii="仿宋" w:hAnsi="仿宋" w:eastAsia="仿宋" w:cs="仿宋"/>
          <w:kern w:val="2"/>
          <w:sz w:val="24"/>
          <w:szCs w:val="24"/>
          <w:highlight w:val="none"/>
          <w:lang w:val="en-US" w:eastAsia="zh-CN"/>
        </w:rPr>
        <w:t>两个院</w:t>
      </w:r>
      <w:bookmarkStart w:id="11" w:name="_GoBack"/>
      <w:bookmarkEnd w:id="11"/>
      <w:r>
        <w:rPr>
          <w:rFonts w:hint="eastAsia" w:ascii="仿宋" w:hAnsi="仿宋" w:eastAsia="仿宋" w:cs="仿宋"/>
          <w:kern w:val="2"/>
          <w:sz w:val="24"/>
          <w:szCs w:val="24"/>
          <w:highlight w:val="none"/>
        </w:rPr>
        <w:t>区统一平台管理</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每月提供一次IP地址表</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val="en-US" w:eastAsia="zh-CN"/>
        </w:rPr>
        <w:t>提供上网行为管理服务。</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color w:val="000000"/>
          <w:sz w:val="24"/>
          <w:szCs w:val="24"/>
          <w:highlight w:val="none"/>
          <w:lang w:eastAsia="zh-CN"/>
        </w:rPr>
      </w:pPr>
      <w:r>
        <w:rPr>
          <w:rFonts w:hint="eastAsia" w:ascii="微软雅黑" w:hAnsi="微软雅黑" w:eastAsia="微软雅黑" w:cs="微软雅黑"/>
          <w:sz w:val="28"/>
          <w:szCs w:val="28"/>
          <w:highlight w:val="none"/>
        </w:rPr>
        <w:t>⑷</w:t>
      </w:r>
      <w:r>
        <w:rPr>
          <w:rFonts w:hint="eastAsia" w:ascii="仿宋" w:hAnsi="仿宋" w:eastAsia="仿宋"/>
          <w:color w:val="000000"/>
          <w:kern w:val="0"/>
          <w:sz w:val="24"/>
          <w:szCs w:val="24"/>
          <w:highlight w:val="none"/>
        </w:rPr>
        <w:t>、</w:t>
      </w:r>
      <w:r>
        <w:rPr>
          <w:rFonts w:hint="eastAsia" w:ascii="仿宋" w:hAnsi="仿宋" w:eastAsia="仿宋" w:cs="仿宋"/>
          <w:color w:val="000000"/>
          <w:sz w:val="24"/>
          <w:szCs w:val="24"/>
          <w:highlight w:val="none"/>
        </w:rPr>
        <w:t>弱电井内外网交换机设备的设置检测、日常定期巡检维护（每月一次，需自备巡检监控平台，并有巡检记录，每月提供巡检报告）</w:t>
      </w:r>
      <w:r>
        <w:rPr>
          <w:rFonts w:hint="eastAsia" w:ascii="仿宋" w:hAnsi="仿宋" w:eastAsia="仿宋" w:cs="仿宋"/>
          <w:color w:val="000000"/>
          <w:sz w:val="24"/>
          <w:szCs w:val="24"/>
          <w:highlight w:val="none"/>
          <w:lang w:eastAsia="zh-CN"/>
        </w:rPr>
        <w:t>；</w:t>
      </w:r>
    </w:p>
    <w:p>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color w:val="000000"/>
          <w:kern w:val="0"/>
          <w:sz w:val="24"/>
          <w:szCs w:val="24"/>
          <w:highlight w:val="none"/>
        </w:rPr>
      </w:pPr>
      <w:r>
        <w:rPr>
          <w:rFonts w:hint="eastAsia" w:ascii="微软雅黑" w:hAnsi="微软雅黑" w:eastAsia="微软雅黑" w:cs="微软雅黑"/>
          <w:sz w:val="28"/>
          <w:szCs w:val="28"/>
        </w:rPr>
        <w:t>⑸</w:t>
      </w:r>
      <w:r>
        <w:rPr>
          <w:rFonts w:hint="eastAsia" w:ascii="仿宋" w:hAnsi="仿宋" w:eastAsia="仿宋"/>
          <w:color w:val="000000"/>
          <w:kern w:val="0"/>
          <w:sz w:val="24"/>
          <w:szCs w:val="24"/>
          <w:highlight w:val="none"/>
        </w:rPr>
        <w:t>、</w:t>
      </w:r>
      <w:r>
        <w:rPr>
          <w:rFonts w:hint="eastAsia" w:ascii="仿宋" w:hAnsi="仿宋" w:eastAsia="仿宋" w:cs="仿宋"/>
          <w:color w:val="000000"/>
          <w:sz w:val="24"/>
          <w:szCs w:val="24"/>
          <w:highlight w:val="none"/>
        </w:rPr>
        <w:t>负责医院信息机房硬件设备（内外网核心交换机、UPS电源、服务器区域交换机、网闸、防火墙、出口路由器、机房接入交换机、</w:t>
      </w:r>
      <w:r>
        <w:rPr>
          <w:rFonts w:hint="eastAsia" w:ascii="仿宋" w:hAnsi="仿宋" w:eastAsia="仿宋" w:cs="仿宋"/>
          <w:color w:val="000000"/>
          <w:kern w:val="0"/>
          <w:sz w:val="24"/>
          <w:szCs w:val="24"/>
          <w:highlight w:val="none"/>
        </w:rPr>
        <w:t>精密空调等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全年</w:t>
      </w:r>
      <w:r>
        <w:rPr>
          <w:rFonts w:hint="eastAsia" w:ascii="仿宋" w:hAnsi="仿宋" w:eastAsia="仿宋" w:cs="仿宋"/>
          <w:color w:val="000000"/>
          <w:sz w:val="24"/>
          <w:szCs w:val="24"/>
          <w:highlight w:val="none"/>
        </w:rPr>
        <w:t>24小时的网络故障</w:t>
      </w:r>
      <w:r>
        <w:rPr>
          <w:rFonts w:hint="eastAsia" w:ascii="仿宋" w:hAnsi="仿宋" w:eastAsia="仿宋" w:cs="仿宋"/>
          <w:color w:val="000000"/>
          <w:sz w:val="24"/>
          <w:szCs w:val="24"/>
          <w:highlight w:val="none"/>
          <w:lang w:val="en-US" w:eastAsia="zh-CN"/>
        </w:rPr>
        <w:t>响</w:t>
      </w:r>
      <w:r>
        <w:rPr>
          <w:rFonts w:hint="eastAsia" w:ascii="仿宋" w:hAnsi="仿宋" w:eastAsia="仿宋" w:cs="仿宋"/>
          <w:color w:val="000000"/>
          <w:sz w:val="24"/>
          <w:szCs w:val="24"/>
          <w:highlight w:val="none"/>
        </w:rPr>
        <w:t>应服务、日常配置更改服务、季度机房巡检服务并有巡检报告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详细记录每一项巡检服务内容的检查情况及有关指标参数，收集硬件的日志信息，消除故障隐患，资源优化升级。</w:t>
      </w:r>
    </w:p>
    <w:p>
      <w:pPr>
        <w:pStyle w:val="2"/>
        <w:rPr>
          <w:rFonts w:hint="eastAsia"/>
        </w:rPr>
      </w:pP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、服务</w:t>
      </w:r>
      <w:r>
        <w:rPr>
          <w:rFonts w:hint="eastAsia" w:ascii="仿宋" w:hAnsi="仿宋" w:eastAsia="仿宋" w:cs="仿宋"/>
          <w:color w:val="000000"/>
          <w:kern w:val="0"/>
          <w:sz w:val="24"/>
          <w:szCs w:val="24"/>
          <w:highlight w:val="none"/>
          <w:lang w:val="en-US" w:eastAsia="zh-CN"/>
        </w:rPr>
        <w:t>人员，服务响应</w:t>
      </w:r>
      <w:r>
        <w:rPr>
          <w:rFonts w:hint="eastAsia" w:ascii="仿宋" w:hAnsi="仿宋" w:eastAsia="仿宋" w:cs="仿宋"/>
          <w:color w:val="000000"/>
          <w:kern w:val="0"/>
          <w:sz w:val="24"/>
          <w:szCs w:val="24"/>
          <w:highlight w:val="none"/>
        </w:rPr>
        <w:t>时间</w:t>
      </w:r>
      <w:r>
        <w:rPr>
          <w:rFonts w:hint="eastAsia" w:ascii="仿宋" w:hAnsi="仿宋" w:eastAsia="仿宋" w:cs="仿宋"/>
          <w:color w:val="000000"/>
          <w:kern w:val="0"/>
          <w:sz w:val="24"/>
          <w:szCs w:val="24"/>
          <w:highlight w:val="none"/>
          <w:lang w:val="en-US" w:eastAsia="zh-CN"/>
        </w:rPr>
        <w:t>以及备用机要求：</w:t>
      </w:r>
    </w:p>
    <w:p>
      <w:pPr>
        <w:pStyle w:val="2"/>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仿宋" w:hAnsi="仿宋" w:eastAsia="仿宋" w:cs="仿宋"/>
          <w:color w:val="000000"/>
          <w:kern w:val="0"/>
          <w:sz w:val="24"/>
          <w:szCs w:val="24"/>
          <w:highlight w:val="none"/>
        </w:rPr>
      </w:pPr>
      <w:r>
        <w:rPr>
          <w:rFonts w:hint="eastAsia" w:ascii="微软雅黑" w:hAnsi="微软雅黑" w:eastAsia="微软雅黑" w:cs="微软雅黑"/>
          <w:b w:val="0"/>
          <w:bCs w:val="0"/>
          <w:sz w:val="28"/>
          <w:szCs w:val="28"/>
          <w:highlight w:val="none"/>
        </w:rPr>
        <w:t>⑴</w:t>
      </w:r>
      <w:r>
        <w:rPr>
          <w:rFonts w:hint="eastAsia" w:ascii="微软雅黑" w:hAnsi="微软雅黑" w:eastAsia="微软雅黑" w:cs="微软雅黑"/>
          <w:sz w:val="24"/>
          <w:szCs w:val="24"/>
          <w:highlight w:val="none"/>
          <w:lang w:eastAsia="zh-CN"/>
        </w:rPr>
        <w:t>、</w:t>
      </w:r>
      <w:r>
        <w:rPr>
          <w:rFonts w:hint="eastAsia" w:ascii="仿宋" w:hAnsi="仿宋" w:eastAsia="仿宋" w:cs="仿宋"/>
          <w:color w:val="000000"/>
          <w:kern w:val="0"/>
          <w:sz w:val="24"/>
          <w:szCs w:val="24"/>
          <w:highlight w:val="none"/>
        </w:rPr>
        <w:t>要求外包服务</w:t>
      </w:r>
      <w:r>
        <w:rPr>
          <w:rFonts w:hint="eastAsia" w:ascii="仿宋" w:hAnsi="仿宋" w:eastAsia="仿宋" w:cs="仿宋"/>
          <w:color w:val="000000"/>
          <w:kern w:val="0"/>
          <w:sz w:val="24"/>
          <w:szCs w:val="24"/>
          <w:highlight w:val="none"/>
          <w:lang w:val="en-US" w:eastAsia="zh-CN"/>
        </w:rPr>
        <w:t>供应</w:t>
      </w:r>
      <w:r>
        <w:rPr>
          <w:rFonts w:hint="eastAsia" w:ascii="仿宋" w:hAnsi="仿宋" w:eastAsia="仿宋" w:cs="仿宋"/>
          <w:color w:val="000000"/>
          <w:kern w:val="0"/>
          <w:sz w:val="24"/>
          <w:szCs w:val="24"/>
          <w:highlight w:val="none"/>
        </w:rPr>
        <w:t>商</w:t>
      </w:r>
      <w:r>
        <w:rPr>
          <w:rFonts w:hint="eastAsia" w:ascii="仿宋" w:hAnsi="仿宋" w:eastAsia="仿宋" w:cs="仿宋"/>
          <w:color w:val="000000"/>
          <w:kern w:val="0"/>
          <w:sz w:val="24"/>
          <w:szCs w:val="24"/>
          <w:highlight w:val="none"/>
          <w:lang w:val="en-US" w:eastAsia="zh-CN"/>
        </w:rPr>
        <w:t>派遣诺干名</w:t>
      </w:r>
      <w:r>
        <w:rPr>
          <w:rFonts w:hint="eastAsia" w:ascii="仿宋" w:hAnsi="仿宋" w:eastAsia="仿宋" w:cs="仿宋"/>
          <w:color w:val="000000"/>
          <w:kern w:val="0"/>
          <w:sz w:val="24"/>
          <w:szCs w:val="24"/>
          <w:highlight w:val="none"/>
        </w:rPr>
        <w:t>（其中至少包含1名中级以上网络</w:t>
      </w:r>
      <w:r>
        <w:rPr>
          <w:rFonts w:hint="eastAsia" w:ascii="仿宋" w:hAnsi="仿宋" w:eastAsia="仿宋" w:cs="仿宋"/>
          <w:color w:val="000000"/>
          <w:kern w:val="0"/>
          <w:sz w:val="24"/>
          <w:szCs w:val="24"/>
          <w:highlight w:val="none"/>
          <w:lang w:val="en-US" w:eastAsia="zh-CN"/>
        </w:rPr>
        <w:t>及</w:t>
      </w:r>
      <w:r>
        <w:rPr>
          <w:rFonts w:hint="eastAsia" w:ascii="仿宋" w:hAnsi="仿宋" w:eastAsia="仿宋" w:cs="仿宋"/>
          <w:color w:val="000000"/>
          <w:kern w:val="0"/>
          <w:sz w:val="24"/>
          <w:szCs w:val="24"/>
          <w:highlight w:val="none"/>
        </w:rPr>
        <w:t>安全专业技术人员）具有独立工作能力的技术维护人员常驻医院，</w:t>
      </w:r>
      <w:r>
        <w:rPr>
          <w:rFonts w:hint="eastAsia" w:ascii="仿宋" w:hAnsi="仿宋" w:eastAsia="仿宋" w:cs="仿宋"/>
          <w:color w:val="000000"/>
          <w:kern w:val="0"/>
          <w:sz w:val="24"/>
          <w:szCs w:val="24"/>
          <w:highlight w:val="none"/>
          <w:lang w:val="en-US" w:eastAsia="zh-CN"/>
        </w:rPr>
        <w:t>响应供应商在咨询响应文件中须承诺派遣人数；</w:t>
      </w:r>
      <w:r>
        <w:rPr>
          <w:rFonts w:hint="eastAsia" w:ascii="仿宋" w:hAnsi="仿宋" w:eastAsia="仿宋" w:cs="仿宋"/>
          <w:color w:val="000000"/>
          <w:kern w:val="0"/>
          <w:sz w:val="24"/>
          <w:szCs w:val="24"/>
          <w:highlight w:val="none"/>
        </w:rPr>
        <w:t>服从医院工作安排，</w:t>
      </w:r>
      <w:r>
        <w:rPr>
          <w:rFonts w:hint="eastAsia" w:ascii="仿宋" w:hAnsi="仿宋" w:eastAsia="仿宋" w:cs="仿宋"/>
          <w:color w:val="000000"/>
          <w:kern w:val="0"/>
          <w:sz w:val="24"/>
          <w:szCs w:val="24"/>
          <w:highlight w:val="none"/>
          <w:lang w:val="en-US" w:eastAsia="zh-CN"/>
        </w:rPr>
        <w:t>提供全年</w:t>
      </w:r>
      <w:r>
        <w:rPr>
          <w:rFonts w:hint="eastAsia" w:ascii="仿宋" w:hAnsi="仿宋" w:eastAsia="仿宋" w:cs="仿宋"/>
          <w:color w:val="000000"/>
          <w:kern w:val="0"/>
          <w:sz w:val="24"/>
          <w:szCs w:val="24"/>
          <w:highlight w:val="none"/>
        </w:rPr>
        <w:t>24小时现场</w:t>
      </w:r>
      <w:r>
        <w:rPr>
          <w:rFonts w:hint="eastAsia" w:ascii="仿宋" w:hAnsi="仿宋" w:eastAsia="仿宋" w:cs="仿宋"/>
          <w:color w:val="000000"/>
          <w:kern w:val="0"/>
          <w:sz w:val="24"/>
          <w:szCs w:val="24"/>
          <w:highlight w:val="none"/>
          <w:lang w:val="en-US" w:eastAsia="zh-CN"/>
        </w:rPr>
        <w:t>服务</w:t>
      </w:r>
      <w:r>
        <w:rPr>
          <w:rFonts w:hint="eastAsia" w:ascii="仿宋" w:hAnsi="仿宋" w:eastAsia="仿宋" w:cs="仿宋"/>
          <w:color w:val="000000"/>
          <w:kern w:val="0"/>
          <w:sz w:val="24"/>
          <w:szCs w:val="24"/>
          <w:highlight w:val="none"/>
        </w:rPr>
        <w:t>，特殊情况下服务</w:t>
      </w:r>
      <w:r>
        <w:rPr>
          <w:rFonts w:hint="eastAsia" w:ascii="仿宋" w:hAnsi="仿宋" w:eastAsia="仿宋" w:cs="仿宋"/>
          <w:color w:val="000000"/>
          <w:kern w:val="0"/>
          <w:sz w:val="24"/>
          <w:szCs w:val="24"/>
          <w:highlight w:val="none"/>
          <w:lang w:val="en-US" w:eastAsia="zh-CN"/>
        </w:rPr>
        <w:t>供应</w:t>
      </w:r>
      <w:r>
        <w:rPr>
          <w:rFonts w:hint="eastAsia" w:ascii="仿宋" w:hAnsi="仿宋" w:eastAsia="仿宋" w:cs="仿宋"/>
          <w:color w:val="000000"/>
          <w:kern w:val="0"/>
          <w:sz w:val="24"/>
          <w:szCs w:val="24"/>
          <w:highlight w:val="none"/>
        </w:rPr>
        <w:t>商需增派技术力量保障医院服务需求。</w:t>
      </w:r>
      <w:r>
        <w:rPr>
          <w:rFonts w:hint="eastAsia" w:ascii="仿宋" w:hAnsi="仿宋" w:eastAsia="仿宋" w:cs="仿宋"/>
          <w:color w:val="000000"/>
          <w:kern w:val="0"/>
          <w:sz w:val="24"/>
          <w:szCs w:val="24"/>
          <w:highlight w:val="none"/>
          <w:lang w:val="en-US" w:eastAsia="zh-CN"/>
        </w:rPr>
        <w:t>响应供应商须提供</w:t>
      </w:r>
      <w:r>
        <w:rPr>
          <w:rFonts w:hint="eastAsia" w:ascii="仿宋" w:hAnsi="仿宋" w:eastAsia="仿宋" w:cs="仿宋"/>
          <w:color w:val="000000"/>
          <w:kern w:val="0"/>
          <w:sz w:val="24"/>
          <w:szCs w:val="24"/>
          <w:highlight w:val="none"/>
        </w:rPr>
        <w:t>电脑、打印机、复印机</w:t>
      </w:r>
      <w:r>
        <w:rPr>
          <w:rFonts w:hint="eastAsia" w:ascii="仿宋" w:hAnsi="仿宋" w:eastAsia="仿宋" w:cs="仿宋"/>
          <w:color w:val="000000"/>
          <w:kern w:val="0"/>
          <w:sz w:val="24"/>
          <w:szCs w:val="24"/>
          <w:highlight w:val="none"/>
          <w:lang w:val="en-US" w:eastAsia="zh-CN"/>
        </w:rPr>
        <w:t>三大类中任意品牌至少一个厂家认证的技术培训证书彩色扫描件（加盖厂家公章），技术培训证书可在官网或官方热线可查询，同时提供该名技术人员在公司的社保证明资料，确保供应商有专业的技术服务能力。</w:t>
      </w:r>
    </w:p>
    <w:p>
      <w:pPr>
        <w:widowControl/>
        <w:spacing w:line="360" w:lineRule="auto"/>
        <w:ind w:firstLine="560" w:firstLineChars="200"/>
        <w:jc w:val="left"/>
        <w:rPr>
          <w:rFonts w:hint="eastAsia" w:ascii="仿宋" w:hAnsi="仿宋" w:eastAsia="仿宋" w:cs="仿宋"/>
          <w:color w:val="000000"/>
          <w:kern w:val="0"/>
          <w:sz w:val="24"/>
          <w:szCs w:val="24"/>
          <w:highlight w:val="none"/>
        </w:rPr>
      </w:pPr>
      <w:r>
        <w:rPr>
          <w:rFonts w:hint="eastAsia" w:ascii="微软雅黑" w:hAnsi="微软雅黑" w:eastAsia="微软雅黑" w:cs="微软雅黑"/>
          <w:sz w:val="28"/>
          <w:szCs w:val="28"/>
          <w:highlight w:val="none"/>
        </w:rPr>
        <w:t>⑵</w:t>
      </w:r>
      <w:r>
        <w:rPr>
          <w:rFonts w:hint="eastAsia" w:ascii="仿宋" w:hAnsi="仿宋" w:eastAsia="仿宋"/>
          <w:color w:val="000000"/>
          <w:kern w:val="0"/>
          <w:sz w:val="24"/>
          <w:szCs w:val="24"/>
          <w:highlight w:val="none"/>
        </w:rPr>
        <w:t>、</w:t>
      </w:r>
      <w:r>
        <w:rPr>
          <w:rFonts w:hint="eastAsia" w:ascii="仿宋" w:hAnsi="仿宋" w:eastAsia="仿宋" w:cs="仿宋"/>
          <w:color w:val="000000"/>
          <w:kern w:val="0"/>
          <w:sz w:val="24"/>
          <w:szCs w:val="24"/>
          <w:highlight w:val="none"/>
        </w:rPr>
        <w:t xml:space="preserve">保障维修，及时进入现场维修，正常上班时间 10分钟内到达现场，其他时间 </w:t>
      </w:r>
      <w:r>
        <w:rPr>
          <w:rFonts w:hint="eastAsia" w:ascii="仿宋" w:hAnsi="仿宋" w:eastAsia="仿宋" w:cs="仿宋"/>
          <w:color w:val="000000"/>
          <w:kern w:val="0"/>
          <w:sz w:val="24"/>
          <w:szCs w:val="24"/>
          <w:highlight w:val="none"/>
          <w:lang w:val="en-US" w:eastAsia="zh-CN"/>
        </w:rPr>
        <w:t>30</w:t>
      </w:r>
      <w:r>
        <w:rPr>
          <w:rFonts w:hint="eastAsia" w:ascii="仿宋" w:hAnsi="仿宋" w:eastAsia="仿宋" w:cs="仿宋"/>
          <w:color w:val="000000"/>
          <w:kern w:val="0"/>
          <w:sz w:val="24"/>
          <w:szCs w:val="24"/>
          <w:highlight w:val="none"/>
        </w:rPr>
        <w:t xml:space="preserve"> 分钟到达现场。</w:t>
      </w:r>
    </w:p>
    <w:p>
      <w:pPr>
        <w:widowControl/>
        <w:spacing w:line="360" w:lineRule="auto"/>
        <w:ind w:firstLine="560" w:firstLineChars="200"/>
        <w:jc w:val="left"/>
        <w:rPr>
          <w:rFonts w:hint="eastAsia" w:ascii="仿宋" w:hAnsi="仿宋" w:eastAsia="仿宋" w:cs="仿宋"/>
          <w:color w:val="000000"/>
          <w:kern w:val="0"/>
          <w:sz w:val="24"/>
          <w:szCs w:val="24"/>
          <w:highlight w:val="none"/>
        </w:rPr>
      </w:pPr>
      <w:r>
        <w:rPr>
          <w:rFonts w:hint="eastAsia" w:ascii="微软雅黑" w:hAnsi="微软雅黑" w:eastAsia="微软雅黑" w:cs="微软雅黑"/>
          <w:sz w:val="28"/>
          <w:szCs w:val="28"/>
          <w:highlight w:val="none"/>
        </w:rPr>
        <w:t>⑶</w:t>
      </w:r>
      <w:r>
        <w:rPr>
          <w:rFonts w:hint="eastAsia" w:ascii="仿宋" w:hAnsi="仿宋" w:eastAsia="仿宋"/>
          <w:color w:val="000000"/>
          <w:kern w:val="0"/>
          <w:sz w:val="24"/>
          <w:szCs w:val="24"/>
          <w:highlight w:val="none"/>
        </w:rPr>
        <w:t>、</w:t>
      </w:r>
      <w:r>
        <w:rPr>
          <w:rFonts w:hint="eastAsia" w:ascii="仿宋" w:hAnsi="仿宋" w:eastAsia="仿宋" w:cs="仿宋"/>
          <w:color w:val="000000"/>
          <w:kern w:val="0"/>
          <w:sz w:val="24"/>
          <w:szCs w:val="24"/>
          <w:highlight w:val="none"/>
        </w:rPr>
        <w:t>如有不具备现场维修条件；故障</w:t>
      </w:r>
      <w:r>
        <w:rPr>
          <w:rFonts w:hint="eastAsia" w:ascii="仿宋" w:hAnsi="仿宋" w:eastAsia="仿宋" w:cs="仿宋"/>
          <w:color w:val="000000"/>
          <w:kern w:val="0"/>
          <w:sz w:val="24"/>
          <w:szCs w:val="24"/>
          <w:highlight w:val="none"/>
          <w:lang w:val="en-US" w:eastAsia="zh-CN"/>
        </w:rPr>
        <w:t>设备</w:t>
      </w:r>
      <w:r>
        <w:rPr>
          <w:rFonts w:hint="eastAsia" w:ascii="仿宋" w:hAnsi="仿宋" w:eastAsia="仿宋" w:cs="仿宋"/>
          <w:color w:val="000000"/>
          <w:kern w:val="0"/>
          <w:sz w:val="24"/>
          <w:szCs w:val="24"/>
          <w:highlight w:val="none"/>
        </w:rPr>
        <w:t>现场半小时内无法解决</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经</w:t>
      </w:r>
      <w:r>
        <w:rPr>
          <w:rFonts w:hint="eastAsia" w:ascii="仿宋" w:hAnsi="仿宋" w:eastAsia="仿宋" w:cs="仿宋"/>
          <w:color w:val="000000"/>
          <w:kern w:val="0"/>
          <w:sz w:val="24"/>
          <w:szCs w:val="24"/>
          <w:highlight w:val="none"/>
          <w:lang w:val="en-US" w:eastAsia="zh-CN"/>
        </w:rPr>
        <w:t>院方</w:t>
      </w:r>
      <w:r>
        <w:rPr>
          <w:rFonts w:hint="eastAsia" w:ascii="仿宋" w:hAnsi="仿宋" w:eastAsia="仿宋" w:cs="仿宋"/>
          <w:color w:val="000000"/>
          <w:kern w:val="0"/>
          <w:sz w:val="24"/>
          <w:szCs w:val="24"/>
          <w:highlight w:val="none"/>
        </w:rPr>
        <w:t>同意，方可外修</w:t>
      </w:r>
      <w:r>
        <w:rPr>
          <w:rFonts w:hint="eastAsia" w:ascii="仿宋" w:hAnsi="仿宋" w:eastAsia="仿宋" w:cs="仿宋"/>
          <w:color w:val="000000"/>
          <w:kern w:val="0"/>
          <w:sz w:val="24"/>
          <w:szCs w:val="24"/>
          <w:highlight w:val="none"/>
          <w:lang w:eastAsia="zh-CN"/>
        </w:rPr>
        <w:t>；</w:t>
      </w:r>
      <w:r>
        <w:rPr>
          <w:rFonts w:hint="eastAsia" w:ascii="仿宋" w:hAnsi="仿宋" w:eastAsia="仿宋"/>
          <w:color w:val="000000"/>
          <w:kern w:val="0"/>
          <w:sz w:val="24"/>
          <w:szCs w:val="24"/>
          <w:highlight w:val="none"/>
        </w:rPr>
        <w:t>同时要提供</w:t>
      </w:r>
      <w:r>
        <w:rPr>
          <w:rFonts w:hint="eastAsia" w:ascii="仿宋" w:hAnsi="仿宋" w:eastAsia="仿宋"/>
          <w:color w:val="000000"/>
          <w:kern w:val="0"/>
          <w:sz w:val="24"/>
          <w:szCs w:val="24"/>
          <w:highlight w:val="none"/>
          <w:lang w:val="en-US" w:eastAsia="zh-CN"/>
        </w:rPr>
        <w:t>能正常使用的</w:t>
      </w:r>
      <w:r>
        <w:rPr>
          <w:rFonts w:hint="eastAsia" w:ascii="仿宋" w:hAnsi="仿宋" w:eastAsia="仿宋"/>
          <w:color w:val="000000"/>
          <w:kern w:val="0"/>
          <w:sz w:val="24"/>
          <w:szCs w:val="24"/>
          <w:highlight w:val="none"/>
        </w:rPr>
        <w:t>备机替换使用</w:t>
      </w:r>
      <w:r>
        <w:rPr>
          <w:rFonts w:hint="eastAsia" w:ascii="仿宋" w:hAnsi="仿宋" w:eastAsia="仿宋"/>
          <w:color w:val="000000"/>
          <w:kern w:val="0"/>
          <w:sz w:val="24"/>
          <w:szCs w:val="24"/>
          <w:highlight w:val="none"/>
          <w:lang w:eastAsia="zh-CN"/>
        </w:rPr>
        <w:t>，</w:t>
      </w:r>
      <w:r>
        <w:rPr>
          <w:rFonts w:hint="eastAsia" w:ascii="仿宋" w:hAnsi="仿宋" w:eastAsia="仿宋"/>
          <w:color w:val="000000"/>
          <w:kern w:val="0"/>
          <w:sz w:val="24"/>
          <w:szCs w:val="24"/>
          <w:highlight w:val="none"/>
          <w:lang w:val="en-US" w:eastAsia="zh-CN"/>
        </w:rPr>
        <w:t>并且提供备机记录</w:t>
      </w:r>
      <w:r>
        <w:rPr>
          <w:rFonts w:hint="eastAsia" w:ascii="仿宋" w:hAnsi="仿宋" w:eastAsia="仿宋" w:cs="仿宋"/>
          <w:color w:val="000000"/>
          <w:kern w:val="0"/>
          <w:sz w:val="24"/>
          <w:szCs w:val="24"/>
          <w:highlight w:val="none"/>
        </w:rPr>
        <w:t>。</w:t>
      </w:r>
    </w:p>
    <w:p>
      <w:pPr>
        <w:keepNext w:val="0"/>
        <w:keepLines w:val="0"/>
        <w:pageBreakBefore w:val="0"/>
        <w:widowControl/>
        <w:kinsoku/>
        <w:wordWrap/>
        <w:overflowPunct/>
        <w:topLinePunct w:val="0"/>
        <w:bidi w:val="0"/>
        <w:snapToGrid/>
        <w:spacing w:line="360" w:lineRule="auto"/>
        <w:ind w:firstLine="560" w:firstLineChars="200"/>
        <w:jc w:val="left"/>
        <w:textAlignment w:val="auto"/>
        <w:rPr>
          <w:rFonts w:hint="default" w:ascii="仿宋" w:hAnsi="仿宋" w:eastAsia="仿宋"/>
          <w:color w:val="000000"/>
          <w:kern w:val="0"/>
          <w:sz w:val="24"/>
          <w:szCs w:val="24"/>
          <w:highlight w:val="none"/>
          <w:lang w:val="en-US" w:eastAsia="zh-CN"/>
        </w:rPr>
      </w:pPr>
      <w:r>
        <w:rPr>
          <w:rFonts w:hint="eastAsia" w:ascii="微软雅黑" w:hAnsi="微软雅黑" w:eastAsia="微软雅黑" w:cs="微软雅黑"/>
          <w:sz w:val="28"/>
          <w:szCs w:val="28"/>
          <w:highlight w:val="none"/>
        </w:rPr>
        <w:t>⑷</w:t>
      </w:r>
      <w:r>
        <w:rPr>
          <w:rFonts w:hint="eastAsia" w:ascii="仿宋" w:hAnsi="仿宋" w:eastAsia="仿宋"/>
          <w:color w:val="000000"/>
          <w:kern w:val="0"/>
          <w:sz w:val="24"/>
          <w:szCs w:val="24"/>
          <w:highlight w:val="none"/>
        </w:rPr>
        <w:t>、</w:t>
      </w:r>
      <w:r>
        <w:rPr>
          <w:rFonts w:hint="eastAsia" w:ascii="仿宋" w:hAnsi="仿宋" w:eastAsia="仿宋"/>
          <w:color w:val="000000"/>
          <w:kern w:val="0"/>
          <w:sz w:val="24"/>
          <w:szCs w:val="24"/>
          <w:highlight w:val="none"/>
          <w:lang w:val="en-US" w:eastAsia="zh-CN"/>
        </w:rPr>
        <w:t>常用备用机库设备配置要求为：</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olor w:val="000000"/>
          <w:kern w:val="0"/>
          <w:sz w:val="24"/>
          <w:szCs w:val="24"/>
          <w:highlight w:val="none"/>
          <w:lang w:val="en-US" w:eastAsia="zh-CN"/>
        </w:rPr>
      </w:pPr>
      <w:r>
        <w:rPr>
          <w:rFonts w:hint="eastAsia" w:ascii="微软雅黑" w:hAnsi="微软雅黑" w:eastAsia="微软雅黑" w:cs="微软雅黑"/>
          <w:sz w:val="24"/>
          <w:szCs w:val="24"/>
          <w:highlight w:val="none"/>
        </w:rPr>
        <w:t>①</w:t>
      </w:r>
      <w:r>
        <w:rPr>
          <w:rFonts w:hint="eastAsia" w:ascii="仿宋" w:hAnsi="仿宋" w:eastAsia="仿宋"/>
          <w:color w:val="000000"/>
          <w:kern w:val="0"/>
          <w:sz w:val="24"/>
          <w:szCs w:val="24"/>
          <w:highlight w:val="none"/>
        </w:rPr>
        <w:t>、</w:t>
      </w:r>
      <w:r>
        <w:rPr>
          <w:rFonts w:hint="eastAsia" w:ascii="仿宋" w:hAnsi="仿宋" w:eastAsia="仿宋"/>
          <w:color w:val="000000"/>
          <w:kern w:val="0"/>
          <w:sz w:val="24"/>
          <w:szCs w:val="24"/>
          <w:highlight w:val="none"/>
          <w:lang w:val="en-US" w:eastAsia="zh-CN"/>
        </w:rPr>
        <w:t xml:space="preserve"> 备用电脑8台，配置不低于（I5/内存≥8G/硬盘≥256G SSD/集显/≥19,5寸显示器)</w:t>
      </w:r>
    </w:p>
    <w:p>
      <w:pPr>
        <w:keepNext w:val="0"/>
        <w:keepLines w:val="0"/>
        <w:pageBreakBefore w:val="0"/>
        <w:widowControl/>
        <w:kinsoku/>
        <w:wordWrap/>
        <w:overflowPunct/>
        <w:topLinePunct w:val="0"/>
        <w:autoSpaceDE w:val="0"/>
        <w:bidi w:val="0"/>
        <w:snapToGrid/>
        <w:spacing w:line="360" w:lineRule="auto"/>
        <w:ind w:firstLine="480" w:firstLineChars="200"/>
        <w:jc w:val="left"/>
        <w:textAlignment w:val="auto"/>
        <w:rPr>
          <w:rFonts w:hint="default"/>
          <w:highlight w:val="none"/>
          <w:lang w:val="en-US" w:eastAsia="zh-CN"/>
        </w:rPr>
      </w:pPr>
      <w:r>
        <w:rPr>
          <w:rFonts w:hint="eastAsia" w:ascii="微软雅黑" w:hAnsi="微软雅黑" w:eastAsia="微软雅黑" w:cs="微软雅黑"/>
          <w:sz w:val="24"/>
          <w:szCs w:val="24"/>
          <w:highlight w:val="none"/>
        </w:rPr>
        <w:t>②</w:t>
      </w:r>
      <w:r>
        <w:rPr>
          <w:rFonts w:hint="eastAsia" w:ascii="仿宋" w:hAnsi="仿宋" w:eastAsia="仿宋"/>
          <w:color w:val="000000"/>
          <w:kern w:val="0"/>
          <w:sz w:val="24"/>
          <w:szCs w:val="24"/>
          <w:highlight w:val="none"/>
        </w:rPr>
        <w:t>、</w:t>
      </w:r>
      <w:r>
        <w:rPr>
          <w:rFonts w:hint="eastAsia" w:ascii="仿宋" w:hAnsi="仿宋" w:eastAsia="仿宋"/>
          <w:color w:val="000000"/>
          <w:kern w:val="0"/>
          <w:sz w:val="24"/>
          <w:szCs w:val="24"/>
          <w:highlight w:val="none"/>
          <w:lang w:val="en-US" w:eastAsia="zh-CN"/>
        </w:rPr>
        <w:t xml:space="preserve"> 打印/复印/扫码备用设备提供以下同型号的满足院内科室打印需求的设备，按照院方要求安装使用，提供正常维护并达到合同内的使用标准：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552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类型</w:t>
            </w:r>
          </w:p>
        </w:tc>
        <w:tc>
          <w:tcPr>
            <w:tcW w:w="5523"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型号/功能</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A4黑白激光打印机</w:t>
            </w:r>
          </w:p>
        </w:tc>
        <w:tc>
          <w:tcPr>
            <w:tcW w:w="55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打印速度</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A4</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每分钟</w:t>
            </w:r>
            <w:r>
              <w:rPr>
                <w:rFonts w:hint="eastAsia"/>
                <w:color w:val="000000"/>
                <w:sz w:val="27"/>
                <w:szCs w:val="27"/>
                <w:highlight w:val="none"/>
                <w:lang w:val="en-US" w:bidi="ar"/>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40张，标配网络双面打印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，零秒预热，鼓粉一体，月负荷</w:t>
            </w:r>
            <w:r>
              <w:rPr>
                <w:rFonts w:hint="eastAsia"/>
                <w:color w:val="000000"/>
                <w:sz w:val="27"/>
                <w:szCs w:val="27"/>
                <w:highlight w:val="none"/>
                <w:lang w:val="en-US" w:bidi="ar"/>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80000张。</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A4喷墨打印机</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爱普生M101</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条码打印机</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得实</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DL-620</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热敏打印机</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得实</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DT-230</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二维语音支付盒</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讯宝物联JX-716</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二维码扫描平台</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讯宝物联JX-860(130W识别模组）</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二维码扫描平台</w:t>
            </w:r>
          </w:p>
        </w:tc>
        <w:tc>
          <w:tcPr>
            <w:tcW w:w="552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讯宝物联JX-860II(130W识别模组）</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针式打印机</w:t>
            </w:r>
          </w:p>
        </w:tc>
        <w:tc>
          <w:tcPr>
            <w:tcW w:w="55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打印速度</w:t>
            </w:r>
            <w:r>
              <w:rPr>
                <w:rFonts w:hint="eastAsia"/>
                <w:color w:val="000000"/>
                <w:sz w:val="27"/>
                <w:szCs w:val="27"/>
                <w:highlight w:val="none"/>
                <w:lang w:val="en-US" w:bidi="ar"/>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260汉字／秒，</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智能光栅定位</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防废票功能，任意位置进纸功能，打印厚度</w:t>
            </w:r>
            <w:r>
              <w:rPr>
                <w:rFonts w:hint="eastAsia"/>
                <w:color w:val="000000"/>
                <w:sz w:val="27"/>
                <w:szCs w:val="27"/>
                <w:highlight w:val="none"/>
                <w:lang w:val="en-US" w:bidi="ar"/>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毫米</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center"/>
          </w:tcPr>
          <w:p>
            <w:pPr>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A</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激光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彩色</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印</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机</w:t>
            </w:r>
          </w:p>
        </w:tc>
        <w:tc>
          <w:tcPr>
            <w:tcW w:w="55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打印速度：</w:t>
            </w:r>
            <w:r>
              <w:rPr>
                <w:rFonts w:hint="eastAsia"/>
                <w:color w:val="000000"/>
                <w:sz w:val="27"/>
                <w:szCs w:val="27"/>
                <w:highlight w:val="none"/>
                <w:lang w:val="en-US" w:bidi="ar"/>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60张／分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钟</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，4个纸盒，标配双面打印、网络双面扫描功能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tc>
        <w:tc>
          <w:tcPr>
            <w:tcW w:w="989" w:type="dxa"/>
            <w:noWrap w:val="0"/>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r>
    </w:tbl>
    <w:p>
      <w:pPr>
        <w:pStyle w:val="2"/>
        <w:rPr>
          <w:rFonts w:hint="eastAsia"/>
          <w:lang w:val="en-US" w:eastAsia="zh-CN"/>
        </w:rPr>
      </w:pPr>
    </w:p>
    <w:p>
      <w:pPr>
        <w:pStyle w:val="2"/>
        <w:rPr>
          <w:rFonts w:hint="eastAsia"/>
          <w:lang w:val="en-US" w:eastAsia="zh-CN"/>
        </w:rPr>
      </w:pPr>
    </w:p>
    <w:p>
      <w:pPr>
        <w:keepNext w:val="0"/>
        <w:keepLines w:val="0"/>
        <w:widowControl/>
        <w:numPr>
          <w:ilvl w:val="0"/>
          <w:numId w:val="0"/>
        </w:numPr>
        <w:suppressLineNumbers w:val="0"/>
        <w:ind w:firstLine="422" w:firstLineChars="200"/>
        <w:jc w:val="left"/>
        <w:rPr>
          <w:rFonts w:hint="eastAsia"/>
          <w:b/>
          <w:bCs/>
          <w:lang w:val="en-US" w:eastAsia="zh-CN"/>
        </w:rPr>
      </w:pPr>
      <w:r>
        <w:rPr>
          <w:rFonts w:hint="eastAsia"/>
          <w:b/>
          <w:bCs/>
          <w:lang w:val="en-US" w:eastAsia="zh-CN"/>
        </w:rPr>
        <w:t>5、响应供应商在咨询文件中须提供详细的本服务外包项目实施方案、应急方案。</w:t>
      </w:r>
    </w:p>
    <w:p>
      <w:pPr>
        <w:pStyle w:val="2"/>
        <w:ind w:firstLine="480" w:firstLineChars="200"/>
        <w:rPr>
          <w:rFonts w:hint="default" w:eastAsia="宋体"/>
          <w:lang w:val="en-US" w:eastAsia="zh-CN"/>
        </w:rPr>
      </w:pPr>
    </w:p>
    <w:p>
      <w:pPr>
        <w:pStyle w:val="2"/>
        <w:ind w:firstLine="480" w:firstLineChars="200"/>
        <w:rPr>
          <w:rFonts w:hint="default" w:eastAsia="宋体"/>
          <w:lang w:val="en-US" w:eastAsia="zh-CN"/>
        </w:rPr>
      </w:pPr>
    </w:p>
    <w:p>
      <w:pPr>
        <w:pStyle w:val="2"/>
        <w:ind w:firstLine="480" w:firstLineChars="200"/>
        <w:rPr>
          <w:rFonts w:hint="default" w:eastAsia="宋体"/>
          <w:lang w:val="en-US" w:eastAsia="zh-CN"/>
        </w:rPr>
      </w:pPr>
    </w:p>
    <w:p>
      <w:pPr>
        <w:pStyle w:val="2"/>
        <w:ind w:firstLine="480" w:firstLineChars="200"/>
        <w:rPr>
          <w:rFonts w:hint="default" w:eastAsia="宋体"/>
          <w:lang w:val="en-US" w:eastAsia="zh-CN"/>
        </w:rPr>
      </w:pPr>
    </w:p>
    <w:p>
      <w:pPr>
        <w:pStyle w:val="2"/>
        <w:ind w:firstLine="480" w:firstLineChars="200"/>
        <w:rPr>
          <w:rFonts w:hint="default" w:eastAsia="宋体"/>
          <w:lang w:val="en-US" w:eastAsia="zh-CN"/>
        </w:rPr>
      </w:pPr>
    </w:p>
    <w:p>
      <w:pPr>
        <w:pStyle w:val="2"/>
        <w:ind w:firstLine="480" w:firstLineChars="200"/>
        <w:rPr>
          <w:rFonts w:hint="default" w:eastAsia="宋体"/>
          <w:lang w:val="en-US" w:eastAsia="zh-CN"/>
        </w:rPr>
      </w:pPr>
    </w:p>
    <w:p>
      <w:pPr>
        <w:spacing w:line="360" w:lineRule="auto"/>
        <w:ind w:firstLine="482" w:firstLineChars="200"/>
        <w:outlineLvl w:val="0"/>
        <w:rPr>
          <w:rFonts w:hint="eastAsia" w:ascii="仿宋" w:hAnsi="仿宋" w:eastAsia="仿宋" w:cs="仿宋"/>
          <w:b/>
          <w:color w:val="000000"/>
          <w:sz w:val="24"/>
          <w:szCs w:val="24"/>
          <w:highlight w:val="none"/>
        </w:rPr>
      </w:pPr>
      <w:r>
        <w:rPr>
          <w:rFonts w:hint="eastAsia" w:ascii="仿宋" w:hAnsi="仿宋" w:eastAsia="仿宋" w:cs="仿宋"/>
          <w:b/>
          <w:bCs/>
          <w:kern w:val="0"/>
          <w:sz w:val="24"/>
          <w:szCs w:val="24"/>
          <w:highlight w:val="none"/>
        </w:rPr>
        <w:t>&lt;2&gt;</w:t>
      </w:r>
      <w:r>
        <w:rPr>
          <w:rFonts w:hint="eastAsia" w:ascii="仿宋" w:hAnsi="仿宋" w:eastAsia="仿宋" w:cs="仿宋"/>
          <w:b/>
          <w:color w:val="000000"/>
          <w:sz w:val="24"/>
          <w:szCs w:val="24"/>
          <w:highlight w:val="none"/>
        </w:rPr>
        <w:t>服务项目和维护设备种类清单</w:t>
      </w:r>
    </w:p>
    <w:p>
      <w:pPr>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1、安全</w:t>
      </w:r>
      <w:r>
        <w:rPr>
          <w:rFonts w:hint="eastAsia" w:ascii="仿宋" w:hAnsi="仿宋" w:eastAsia="仿宋" w:cs="仿宋"/>
          <w:b/>
          <w:color w:val="000000"/>
          <w:sz w:val="24"/>
          <w:szCs w:val="24"/>
          <w:highlight w:val="none"/>
          <w:lang w:val="en-US" w:eastAsia="zh-CN"/>
        </w:rPr>
        <w:t>准</w:t>
      </w:r>
      <w:r>
        <w:rPr>
          <w:rFonts w:hint="eastAsia" w:ascii="仿宋" w:hAnsi="仿宋" w:eastAsia="仿宋" w:cs="仿宋"/>
          <w:b/>
          <w:color w:val="000000"/>
          <w:sz w:val="24"/>
          <w:szCs w:val="24"/>
          <w:highlight w:val="none"/>
        </w:rPr>
        <w:t>入服务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14"/>
        <w:gridCol w:w="1560"/>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atLeast"/>
          <w:jc w:val="center"/>
        </w:trPr>
        <w:tc>
          <w:tcPr>
            <w:tcW w:w="9375"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安全</w:t>
            </w:r>
            <w:r>
              <w:rPr>
                <w:rFonts w:hint="eastAsia" w:ascii="仿宋" w:hAnsi="仿宋" w:eastAsia="仿宋" w:cs="仿宋"/>
                <w:color w:val="000000"/>
                <w:kern w:val="0"/>
                <w:sz w:val="24"/>
                <w:szCs w:val="24"/>
                <w:highlight w:val="none"/>
                <w:lang w:val="en-US" w:eastAsia="zh-CN"/>
              </w:rPr>
              <w:t>准</w:t>
            </w:r>
            <w:r>
              <w:rPr>
                <w:rFonts w:hint="eastAsia" w:ascii="仿宋" w:hAnsi="仿宋" w:eastAsia="仿宋" w:cs="仿宋"/>
                <w:color w:val="000000"/>
                <w:kern w:val="0"/>
                <w:sz w:val="24"/>
                <w:szCs w:val="24"/>
                <w:highlight w:val="none"/>
              </w:rPr>
              <w:t>入服务要求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37" w:hRule="atLeast"/>
          <w:jc w:val="center"/>
        </w:trPr>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总体服务要求</w:t>
            </w:r>
          </w:p>
        </w:tc>
        <w:tc>
          <w:tcPr>
            <w:tcW w:w="76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2"/>
              <w:ind w:firstLine="420"/>
              <w:rPr>
                <w:rFonts w:hint="eastAsia" w:ascii="仿宋" w:hAnsi="仿宋" w:eastAsia="仿宋" w:cs="仿宋"/>
                <w:color w:val="000000"/>
                <w:kern w:val="2"/>
                <w:sz w:val="24"/>
                <w:szCs w:val="24"/>
                <w:highlight w:val="none"/>
                <w:lang w:val="zh-CN" w:eastAsia="zh-CN" w:bidi="zh-CN"/>
              </w:rPr>
            </w:pPr>
            <w:r>
              <w:rPr>
                <w:rFonts w:hint="eastAsia" w:ascii="仿宋" w:hAnsi="仿宋" w:eastAsia="仿宋" w:cs="仿宋"/>
                <w:color w:val="000000"/>
                <w:kern w:val="2"/>
                <w:sz w:val="24"/>
                <w:szCs w:val="24"/>
                <w:highlight w:val="none"/>
                <w:lang w:val="zh-CN" w:eastAsia="zh-CN" w:bidi="zh-CN"/>
              </w:rPr>
              <w:t>服务供应商需通过客户端安全接入管理系统实现身份认证与终端安全管理，</w:t>
            </w:r>
            <w:r>
              <w:rPr>
                <w:rFonts w:hint="eastAsia" w:ascii="仿宋" w:hAnsi="仿宋" w:eastAsia="仿宋" w:cs="仿宋"/>
                <w:color w:val="000000"/>
                <w:kern w:val="2"/>
                <w:sz w:val="24"/>
                <w:szCs w:val="24"/>
                <w:highlight w:val="none"/>
                <w:lang w:val="en-US" w:eastAsia="zh-CN" w:bidi="zh-CN"/>
              </w:rPr>
              <w:t>实现二院区部署联动并实现</w:t>
            </w:r>
            <w:r>
              <w:rPr>
                <w:rFonts w:hint="eastAsia" w:ascii="仿宋" w:hAnsi="仿宋" w:eastAsia="仿宋" w:cs="仿宋"/>
                <w:color w:val="000000"/>
                <w:kern w:val="2"/>
                <w:sz w:val="24"/>
                <w:szCs w:val="24"/>
                <w:highlight w:val="none"/>
                <w:lang w:val="zh-CN" w:eastAsia="zh-CN" w:bidi="zh-CN"/>
              </w:rPr>
              <w:t>统一平台管理，最多可允许1200个客户端授权，主要为网络运维人员和管理人员提供接入认证、安全评测、违规报警、通信规范、终端安全管理等符合等/分保要求的辅助服务，能够为管理员提供初级网络管理、智能设备管控、终端违规报警、入网状态、测评状态、资产统计、补丁管理、行为审计等数据分析功能，具有防护全面，界面友好，简单实用的特性。</w:t>
            </w:r>
          </w:p>
          <w:p>
            <w:pPr>
              <w:pStyle w:val="62"/>
              <w:ind w:firstLine="420"/>
              <w:rPr>
                <w:rFonts w:hint="eastAsia" w:ascii="仿宋" w:hAnsi="仿宋" w:eastAsia="仿宋" w:cs="仿宋"/>
                <w:color w:val="000000"/>
                <w:kern w:val="2"/>
                <w:sz w:val="24"/>
                <w:szCs w:val="24"/>
                <w:highlight w:val="none"/>
                <w:lang w:val="zh-CN" w:eastAsia="zh-CN" w:bidi="zh-CN"/>
              </w:rPr>
            </w:pPr>
            <w:r>
              <w:rPr>
                <w:rFonts w:hint="eastAsia" w:ascii="仿宋" w:hAnsi="仿宋" w:eastAsia="仿宋" w:cs="仿宋"/>
                <w:color w:val="000000"/>
                <w:kern w:val="2"/>
                <w:sz w:val="24"/>
                <w:szCs w:val="24"/>
                <w:highlight w:val="none"/>
                <w:lang w:val="zh-CN" w:eastAsia="zh-CN" w:bidi="zh-CN"/>
              </w:rPr>
              <w:t>主要解决终端网络管理混乱，缺少有效的网络接入保护手段，非法终端无有效管控；IP地址资源管理混乱；终端违规软件使用问题严重；内网补丁无法及时更新；移动存储介质随意使用；终端违规外联风险；无法设定统一安全基线等安全问题。</w:t>
            </w:r>
          </w:p>
          <w:p>
            <w:pPr>
              <w:pStyle w:val="62"/>
              <w:rPr>
                <w:rFonts w:hint="eastAsia" w:ascii="仿宋" w:hAnsi="仿宋" w:eastAsia="仿宋" w:cs="仿宋"/>
                <w:color w:val="000000"/>
                <w:kern w:val="2"/>
                <w:sz w:val="24"/>
                <w:szCs w:val="24"/>
                <w:highlight w:val="none"/>
                <w:lang w:val="zh-CN" w:eastAsia="zh-CN" w:bidi="zh-CN"/>
              </w:rPr>
            </w:pPr>
            <w:r>
              <w:rPr>
                <w:rFonts w:hint="eastAsia" w:ascii="仿宋" w:hAnsi="仿宋" w:eastAsia="仿宋" w:cs="仿宋"/>
                <w:color w:val="000000"/>
                <w:kern w:val="2"/>
                <w:sz w:val="24"/>
                <w:szCs w:val="24"/>
                <w:highlight w:val="none"/>
                <w:lang w:val="zh-CN" w:eastAsia="zh-CN" w:bidi="zh-CN"/>
              </w:rPr>
              <w:t>也可实现通过mac地址对终端进行管控。</w:t>
            </w:r>
          </w:p>
          <w:p>
            <w:pPr>
              <w:pStyle w:val="62"/>
              <w:ind w:firstLine="420"/>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zh-CN" w:eastAsia="zh-CN" w:bidi="zh-CN"/>
              </w:rPr>
              <w:t>驻点技术人员每月对安全接入管理系统巡检并有报告，根据厂家官网技术通告定期对安全接入管理系统进行升级服务。日常有专人协助信息科进行安全接入管理各项工作，包括晚班服务。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5" w:hRule="atLeast"/>
          <w:jc w:val="center"/>
        </w:trPr>
        <w:tc>
          <w:tcPr>
            <w:tcW w:w="17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接入管理系统的主要功能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部署方式</w:t>
            </w:r>
          </w:p>
        </w:tc>
        <w:tc>
          <w:tcPr>
            <w:tcW w:w="6101" w:type="dxa"/>
            <w:tcBorders>
              <w:top w:val="single" w:color="auto" w:sz="4" w:space="0"/>
              <w:left w:val="single" w:color="auto" w:sz="4" w:space="0"/>
              <w:bottom w:val="single" w:color="auto" w:sz="4" w:space="0"/>
              <w:right w:val="single" w:color="auto" w:sz="4" w:space="0"/>
            </w:tcBorders>
            <w:shd w:val="clear" w:color="auto" w:fill="auto"/>
            <w:vAlign w:val="bottom"/>
          </w:tcPr>
          <w:p>
            <w:pPr>
              <w:pStyle w:val="64"/>
              <w:ind w:left="142"/>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支持旁路、网桥、网关3种部署方式；设备部署过程中不改变原有网络结构及网络、安全等设备的配置且无客户端，支持多网络出口环境，</w:t>
            </w:r>
            <w:r>
              <w:rPr>
                <w:rFonts w:hint="eastAsia" w:ascii="仿宋" w:hAnsi="仿宋" w:eastAsia="仿宋" w:cs="仿宋"/>
                <w:color w:val="000000"/>
                <w:sz w:val="24"/>
                <w:szCs w:val="24"/>
                <w:highlight w:val="none"/>
                <w:lang w:val="en-US" w:eastAsia="zh-CN"/>
              </w:rPr>
              <w:t>内网实现</w:t>
            </w:r>
            <w:r>
              <w:rPr>
                <w:rFonts w:hint="eastAsia" w:ascii="仿宋" w:hAnsi="仿宋" w:eastAsia="仿宋" w:cs="仿宋"/>
                <w:color w:val="000000"/>
                <w:sz w:val="24"/>
                <w:szCs w:val="24"/>
                <w:highlight w:val="none"/>
              </w:rPr>
              <w:t>同时部署</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台准入服务器，</w:t>
            </w:r>
            <w:r>
              <w:rPr>
                <w:rFonts w:hint="eastAsia" w:ascii="仿宋" w:hAnsi="仿宋" w:eastAsia="仿宋" w:cs="仿宋"/>
                <w:color w:val="000000"/>
                <w:sz w:val="24"/>
                <w:szCs w:val="24"/>
                <w:highlight w:val="none"/>
                <w:lang w:val="en-US" w:eastAsia="zh-CN"/>
              </w:rPr>
              <w:t>并支持在不同院区部署联动，实现</w:t>
            </w:r>
            <w:r>
              <w:rPr>
                <w:rFonts w:hint="eastAsia" w:ascii="仿宋" w:hAnsi="仿宋" w:eastAsia="仿宋" w:cs="仿宋"/>
                <w:color w:val="000000"/>
                <w:sz w:val="24"/>
                <w:szCs w:val="24"/>
                <w:highlight w:val="none"/>
              </w:rPr>
              <w:t>统一平台管理，自定义管辖IP范围；</w:t>
            </w:r>
          </w:p>
          <w:p>
            <w:pPr>
              <w:pStyle w:val="63"/>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客户端兼容性</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客户端插件支持X32\X64平台的 Win2003/XP/Vista/WIN7/WIN8/WIN10操作系统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6" w:hRule="atLeast"/>
          <w:jc w:val="center"/>
        </w:trPr>
        <w:tc>
          <w:tcPr>
            <w:tcW w:w="93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支持的协议</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准入技术支持802.1x、PBR、WebPortal、DHCP、SNMP、端口镜像、透明网桥等方式，准入技术支持IPV6网络，针对复杂的网络接入环境，准入技术支持单独和或组合使用的方式同时使用；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4" w:hRule="atLeast"/>
          <w:jc w:val="center"/>
        </w:trPr>
        <w:tc>
          <w:tcPr>
            <w:tcW w:w="93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阻断功能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4"/>
              <w:jc w:val="both"/>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支持阻断跨NAT路由器下未安装插件的计算机，放行合法的计算机；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报警功能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4"/>
              <w:jc w:val="both"/>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支持对全网交换机及路由器等网络设备进行自动发现及展现，完整展示出网内拓扑情况。违规接入的终端可在拓扑图中通过上联交换机进行颜色报警或提示，可发现终端私接路由并报警；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4"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口令鉴别</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4"/>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支持口令鉴别方式，包括：准入口令鉴别、AD域身份鉴别、LDAP身份鉴别、EMAIL身份鉴别，支持硬件鉴别方式，包括：Ukey身份鉴别、CA证书鉴别，认证方式支持单一或组合的身份认证方式；</w:t>
            </w:r>
          </w:p>
          <w:p>
            <w:pPr>
              <w:pStyle w:val="63"/>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6" w:hRule="atLeast"/>
          <w:jc w:val="center"/>
        </w:trPr>
        <w:tc>
          <w:tcPr>
            <w:tcW w:w="93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无线管控</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4"/>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支持禁止使用无线网卡、3G无线上网卡、手机代理上网、无线热点、其它网卡（支持对虚拟网卡的单独设置）、调制解调器；支持IP/MAC绑定，可设置允许修改DNS；</w:t>
            </w:r>
          </w:p>
          <w:p>
            <w:pPr>
              <w:pStyle w:val="63"/>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1" w:hRule="atLeast"/>
          <w:jc w:val="center"/>
        </w:trPr>
        <w:tc>
          <w:tcPr>
            <w:tcW w:w="93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应急处理</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4"/>
              <w:jc w:val="both"/>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提供发现终端发生违规外联或具备外联的能力，触发报警后，支持对终端进行放置隔离区、锁定屏幕、关闭计算机等应急处理措施；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39"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访问策略</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支持离线策略设置，支持设置离线后不允许访问任何网络功能，支持自定义通信过滤规则功能，能够设置与指定IP或IP段允许或禁止通信的功能；支持对存储类USB设备进行禁用，不影响非存储类USB外设使用；支持对USB存储介质进行全盘加密处理，加密后仅能在内网使用，支持对USB存储介质设置内外加密分区功能，内区仅能在内网使用，外网可以在外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0"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黑白名单</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4"/>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支持设置终端用户的程序黑白名单、网站黑白名单以及SSID黑白名单，禁止进入windows系统的安全模式、定时关机功能、超时锁屏、注册表设置、控制面板等安全功能；</w:t>
            </w:r>
          </w:p>
          <w:p>
            <w:pPr>
              <w:pStyle w:val="63"/>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5" w:hRule="atLeast"/>
          <w:jc w:val="center"/>
        </w:trPr>
        <w:tc>
          <w:tcPr>
            <w:tcW w:w="93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补丁安装</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支持对终端的补丁漏洞自动检测功能，能够汇总单独或全网终端的补丁漏洞信息；当检测到终端有未安装补丁时自动进行分发下载及静默安装；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2"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远程控制</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集成多种桌面支持工具，包括：远程对话、远程文件传输、远程执行、远程重启、远程截屏等功能；管理端在控制用户端时，可以远程关闭用户端键鼠，实现完全控制，远程桌面管理发起时，应保证画面的实时性，实现操作和</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画面传输在1秒之内完成，支持全局热键远程执行的应用。所提供的安全准入产品的远程控制不依赖于用户是否登录，可以通过远程控制进行用户的注销和切换。管理端在控制用户端时，可以远程关闭用户端键鼠，实现完全控制，远程桌面管理发起时，可以保证画面的实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9"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IP地址图形化功能</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67"/>
              <w:widowControl/>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所提供的安全准入产品</w:t>
            </w:r>
            <w:bookmarkStart w:id="10" w:name="OLE_LINK1"/>
            <w:r>
              <w:rPr>
                <w:rFonts w:hint="eastAsia" w:ascii="仿宋" w:hAnsi="仿宋" w:eastAsia="仿宋" w:cs="仿宋"/>
                <w:color w:val="000000"/>
                <w:sz w:val="24"/>
                <w:szCs w:val="24"/>
                <w:highlight w:val="none"/>
              </w:rPr>
              <w:t>地址图形化功能</w:t>
            </w:r>
            <w:bookmarkEnd w:id="10"/>
            <w:r>
              <w:rPr>
                <w:rFonts w:hint="eastAsia" w:ascii="仿宋" w:hAnsi="仿宋" w:eastAsia="仿宋" w:cs="仿宋"/>
                <w:color w:val="000000"/>
                <w:sz w:val="24"/>
                <w:szCs w:val="24"/>
                <w:highlight w:val="none"/>
              </w:rPr>
              <w:t>能以IP地址池的方式图形化查看网络内的已占用、未占用、长期离线和非法入侵IP，可在地址池中的各地址添加备注，并有报警和图表展示功能。</w:t>
            </w:r>
          </w:p>
          <w:p>
            <w:pPr>
              <w:pStyle w:val="63"/>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7" w:hRule="atLeast"/>
          <w:jc w:val="center"/>
        </w:trPr>
        <w:tc>
          <w:tcPr>
            <w:tcW w:w="93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USB移动存储设备增加识别码</w:t>
            </w:r>
          </w:p>
        </w:tc>
        <w:tc>
          <w:tcPr>
            <w:tcW w:w="61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7"/>
              <w:widowControl/>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终端在进行USB管控后，支持对USB移动存储设备增加识别码，规避同序列号U盘，不认证也可以使用的问题。</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numPr>
          <w:ilvl w:val="0"/>
          <w:numId w:val="1"/>
        </w:numPr>
        <w:spacing w:line="360" w:lineRule="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上网行为管理服务：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86"/>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atLeast"/>
          <w:jc w:val="center"/>
        </w:trPr>
        <w:tc>
          <w:tcPr>
            <w:tcW w:w="937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63"/>
              <w:jc w:val="center"/>
              <w:rPr>
                <w:rFonts w:hint="default" w:ascii="仿宋" w:hAnsi="仿宋" w:eastAsia="仿宋" w:cs="仿宋"/>
                <w:color w:val="000000"/>
                <w:kern w:val="0"/>
                <w:sz w:val="24"/>
                <w:szCs w:val="24"/>
                <w:highlight w:val="none"/>
                <w:lang w:val="en-US"/>
              </w:rPr>
            </w:pPr>
            <w:r>
              <w:rPr>
                <w:rFonts w:hint="eastAsia" w:ascii="仿宋" w:hAnsi="仿宋" w:eastAsia="仿宋" w:cs="仿宋"/>
                <w:color w:val="000000"/>
                <w:sz w:val="24"/>
                <w:szCs w:val="24"/>
                <w:highlight w:val="none"/>
              </w:rPr>
              <w:t>上网行为管理</w:t>
            </w:r>
            <w:r>
              <w:rPr>
                <w:rFonts w:hint="eastAsia" w:ascii="仿宋" w:hAnsi="仿宋" w:eastAsia="仿宋" w:cs="仿宋"/>
                <w:color w:val="000000"/>
                <w:sz w:val="24"/>
                <w:szCs w:val="24"/>
                <w:highlight w:val="no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2" w:hRule="atLeast"/>
          <w:jc w:val="center"/>
        </w:trPr>
        <w:tc>
          <w:tcPr>
            <w:tcW w:w="1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服务要求</w:t>
            </w:r>
          </w:p>
        </w:tc>
        <w:tc>
          <w:tcPr>
            <w:tcW w:w="80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ind w:firstLine="420"/>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zh-CN"/>
              </w:rPr>
              <w:t>提供上网行为管理系统，</w:t>
            </w:r>
            <w:r>
              <w:rPr>
                <w:rFonts w:hint="eastAsia" w:ascii="仿宋" w:hAnsi="仿宋" w:eastAsia="仿宋" w:cs="仿宋"/>
                <w:color w:val="000000"/>
                <w:kern w:val="2"/>
                <w:sz w:val="24"/>
                <w:szCs w:val="24"/>
                <w:highlight w:val="none"/>
                <w:lang w:val="zh-CN" w:eastAsia="zh-CN" w:bidi="zh-CN"/>
              </w:rPr>
              <w:t>驻点技术人员每月对上网行为管理系统巡检并有报告，根据厂家官网技术通告定期对上网行为管理系统进行升级服务。日常有专人协助信息科进行上网行为管理各项工作，包括晚班服务。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2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3"/>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功能要求</w:t>
            </w:r>
          </w:p>
        </w:tc>
        <w:tc>
          <w:tcPr>
            <w:tcW w:w="80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1、性能参数：网络层吞吐量；≥3.6Gb，应用层吞吐量：≥450Mb，带宽性能：≥300Mb，IPSEC VPN加密性能：≥100Mb，支持用户数≥1500，包转发率：≥45Kpps，每秒新建连接数：≥4000，最大并发连接数：≥150000。</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2、硬件参数：规格：1U，内存大小：4G，硬盘容量：≥128G SSD+960G SSD，电源：单电源，接口：≥6千兆电口+2千兆光口SFP。</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3、支持路由模式（NAT、路由转发、DHCP、GRE、OSPF）、网桥模式（多路桥接模式）、旁路模式；</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4、支持细致的管理员权限划分，包括对不同用户组的管理权限、对各种主要功能界面的配置和查看权限；</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5、支持根据IP、端口、协议等自定义应用规则；支持根据端口设定用户不允许访问的目标IP组提供的服务；支持根据不同的应用类型或具体的某种应用设置允许或拒绝；</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6、支持内置日志中心和独立日志中心；支持分级配置管理员日志查看权限，管理员登录日志中心只能查看指定用户组的上网行为日志；</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7、支持客户端SSL解密，客户端会自动推送根证书安装；</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8、支持802.1x认证，可对接本地和AD域用户源进行用户名密码认证，可对接外部CA认证服务器进行证书认证，支持在线证书状态查询（OCSP）；支持超过900种主流Saas应用，对Saas应用有默认分类标签，帮助客户统一配置策略；</w:t>
            </w:r>
          </w:p>
          <w:p>
            <w:pPr>
              <w:pStyle w:val="62"/>
              <w:ind w:firstLine="42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9、支持SSL加密网页的内容检查，可对SSL加密网页进行解密并识别、过滤其内容，针对加密后的钓鱼网站、非法网站，可对用户进行重定向告警</w:t>
            </w:r>
            <w:r>
              <w:rPr>
                <w:rFonts w:hint="eastAsia" w:ascii="仿宋" w:hAnsi="仿宋" w:eastAsia="仿宋" w:cs="仿宋"/>
                <w:kern w:val="2"/>
                <w:sz w:val="24"/>
                <w:szCs w:val="24"/>
                <w:highlight w:val="none"/>
                <w:lang w:eastAsia="zh-CN"/>
              </w:rPr>
              <w:t>。</w:t>
            </w:r>
          </w:p>
          <w:p>
            <w:pPr>
              <w:pStyle w:val="62"/>
              <w:ind w:firstLine="42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10、支持Windows终端调用管理员上传脚本/程序以满足个性化检查要求，可设置周期性运行或者运行一次，可设置以当前用户或SYSTEM用户权限执行，执行结果检查是否生效；</w:t>
            </w:r>
          </w:p>
          <w:p>
            <w:pPr>
              <w:pStyle w:val="62"/>
              <w:ind w:firstLine="420"/>
              <w:rPr>
                <w:rFonts w:hint="eastAsia" w:ascii="仿宋" w:hAnsi="仿宋" w:eastAsia="仿宋" w:cs="仿宋"/>
                <w:kern w:val="2"/>
                <w:sz w:val="24"/>
                <w:szCs w:val="24"/>
                <w:highlight w:val="none"/>
              </w:rPr>
            </w:pPr>
          </w:p>
        </w:tc>
      </w:tr>
    </w:tbl>
    <w:p>
      <w:pPr>
        <w:spacing w:line="360" w:lineRule="auto"/>
        <w:rPr>
          <w:rFonts w:hint="eastAsia" w:ascii="仿宋" w:hAnsi="仿宋" w:eastAsia="仿宋" w:cs="仿宋"/>
          <w:b/>
          <w:color w:val="000000"/>
          <w:sz w:val="24"/>
          <w:szCs w:val="24"/>
          <w:highlight w:val="none"/>
          <w:lang w:val="en-US" w:eastAsia="zh-CN"/>
        </w:rPr>
      </w:pPr>
    </w:p>
    <w:p>
      <w:pPr>
        <w:spacing w:line="360" w:lineRule="auto"/>
        <w:rPr>
          <w:rFonts w:hint="eastAsia"/>
          <w:highlight w:val="none"/>
          <w:lang w:eastAsia="zh-CN"/>
        </w:rPr>
      </w:pP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服务项目清单</w:t>
      </w:r>
      <w:r>
        <w:rPr>
          <w:rFonts w:hint="eastAsia" w:ascii="仿宋" w:hAnsi="仿宋" w:eastAsia="仿宋" w:cs="仿宋"/>
          <w:b/>
          <w:color w:val="000000"/>
          <w:sz w:val="24"/>
          <w:szCs w:val="24"/>
          <w:highlight w:val="none"/>
          <w:lang w:eastAsia="zh-CN"/>
        </w:rPr>
        <w:t>：</w:t>
      </w:r>
    </w:p>
    <w:tbl>
      <w:tblPr>
        <w:tblStyle w:val="24"/>
        <w:tblW w:w="96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5"/>
        <w:gridCol w:w="3680"/>
        <w:gridCol w:w="773"/>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6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Style w:val="71"/>
                <w:sz w:val="24"/>
                <w:szCs w:val="24"/>
                <w:highlight w:val="none"/>
                <w:lang w:val="en-US" w:eastAsia="zh-CN" w:bidi="ar"/>
              </w:rPr>
              <w:t>设备种类</w:t>
            </w:r>
          </w:p>
        </w:tc>
        <w:tc>
          <w:tcPr>
            <w:tcW w:w="368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sz w:val="24"/>
                <w:szCs w:val="24"/>
                <w:highlight w:val="none"/>
                <w:lang w:val="en-US" w:eastAsia="zh-CN" w:bidi="ar"/>
              </w:rPr>
              <w:t>服务项目</w:t>
            </w:r>
          </w:p>
        </w:tc>
        <w:tc>
          <w:tcPr>
            <w:tcW w:w="773"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sz w:val="24"/>
                <w:szCs w:val="24"/>
                <w:highlight w:val="none"/>
                <w:lang w:val="en-US" w:eastAsia="zh-CN" w:bidi="ar"/>
              </w:rPr>
              <w:t>单位</w:t>
            </w:r>
          </w:p>
        </w:tc>
        <w:tc>
          <w:tcPr>
            <w:tcW w:w="113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sz w:val="24"/>
                <w:szCs w:val="24"/>
                <w:highlight w:val="none"/>
                <w:lang w:val="en-US" w:eastAsia="zh-CN" w:bidi="ar"/>
              </w:rPr>
              <w:t>预估数量</w:t>
            </w:r>
          </w:p>
        </w:tc>
        <w:tc>
          <w:tcPr>
            <w:tcW w:w="113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Style w:val="71"/>
                <w:rFonts w:hint="default"/>
                <w:sz w:val="24"/>
                <w:szCs w:val="24"/>
                <w:highlight w:val="none"/>
                <w:lang w:val="en-US" w:eastAsia="zh-CN" w:bidi="ar"/>
              </w:rPr>
            </w:pPr>
            <w:r>
              <w:rPr>
                <w:rStyle w:val="71"/>
                <w:rFonts w:hint="eastAsia"/>
                <w:sz w:val="24"/>
                <w:szCs w:val="24"/>
                <w:highlight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6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使用三年以上电脑维保（含显示器，不包括易损件：鼠标、键盘）</w:t>
            </w:r>
          </w:p>
        </w:tc>
        <w:tc>
          <w:tcPr>
            <w:tcW w:w="368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联想\惠普\戴尔电脑维护保修一年</w:t>
            </w:r>
          </w:p>
        </w:tc>
        <w:tc>
          <w:tcPr>
            <w:tcW w:w="7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6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使用三年以内电脑维保（含显示器，不包括易损件：鼠标、键盘）</w:t>
            </w:r>
          </w:p>
        </w:tc>
        <w:tc>
          <w:tcPr>
            <w:tcW w:w="36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联想\惠普\戴尔电脑维护保修一年</w:t>
            </w:r>
          </w:p>
        </w:tc>
        <w:tc>
          <w:tcPr>
            <w:tcW w:w="7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使用三年以上打印机维保</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爱普生\惠普\得实\佳能\瑞挚\兄弟\理光打印机维护保修一年</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使用三年以内打印机维保</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爱普生\惠普\得实\佳能\瑞挚\兄弟\理光打印机维护保修一年</w:t>
            </w:r>
          </w:p>
        </w:tc>
        <w:tc>
          <w:tcPr>
            <w:tcW w:w="77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复印机维保</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原厂延保一年（不含硬件）</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96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扫描平台维保</w:t>
            </w:r>
          </w:p>
        </w:tc>
        <w:tc>
          <w:tcPr>
            <w:tcW w:w="36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原厂延保一年，并提供免费升级服务</w:t>
            </w:r>
          </w:p>
        </w:tc>
        <w:tc>
          <w:tcPr>
            <w:tcW w:w="7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113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296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安全准入服务（一年）</w:t>
            </w:r>
          </w:p>
        </w:tc>
        <w:tc>
          <w:tcPr>
            <w:tcW w:w="368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终端安全准入服务按1200个点内网设备授权一年服务（二院区同一平台联动，服务内容详见安全准入管理服务要求）</w:t>
            </w:r>
          </w:p>
        </w:tc>
        <w:tc>
          <w:tcPr>
            <w:tcW w:w="7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年</w:t>
            </w:r>
          </w:p>
        </w:tc>
        <w:tc>
          <w:tcPr>
            <w:tcW w:w="1134"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上网行为管理服务（一年）</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上网行为管理服务及运维服务费</w:t>
            </w:r>
            <w:r>
              <w:rPr>
                <w:rStyle w:val="71"/>
                <w:rFonts w:hint="eastAsia" w:ascii="仿宋" w:hAnsi="仿宋" w:eastAsia="仿宋" w:cs="仿宋"/>
                <w:sz w:val="24"/>
                <w:szCs w:val="24"/>
                <w:highlight w:val="none"/>
                <w:lang w:val="en-US" w:eastAsia="zh-CN" w:bidi="ar"/>
              </w:rPr>
              <w:t>详见</w:t>
            </w:r>
            <w:r>
              <w:rPr>
                <w:rFonts w:hint="eastAsia" w:ascii="仿宋" w:hAnsi="仿宋" w:eastAsia="仿宋" w:cs="仿宋"/>
                <w:color w:val="000000"/>
                <w:sz w:val="24"/>
                <w:szCs w:val="24"/>
                <w:highlight w:val="none"/>
              </w:rPr>
              <w:t>上网行为管理</w:t>
            </w:r>
            <w:r>
              <w:rPr>
                <w:rFonts w:hint="eastAsia" w:ascii="仿宋" w:hAnsi="仿宋" w:eastAsia="仿宋" w:cs="仿宋"/>
                <w:color w:val="000000"/>
                <w:sz w:val="24"/>
                <w:szCs w:val="24"/>
                <w:highlight w:val="none"/>
                <w:lang w:val="en-US" w:eastAsia="zh-CN"/>
              </w:rPr>
              <w:t>服务要求</w:t>
            </w:r>
            <w:r>
              <w:rPr>
                <w:rStyle w:val="71"/>
                <w:rFonts w:hint="eastAsia" w:ascii="仿宋" w:hAnsi="仿宋" w:eastAsia="仿宋" w:cs="仿宋"/>
                <w:sz w:val="24"/>
                <w:szCs w:val="24"/>
                <w:highlight w:val="none"/>
                <w:lang w:val="en-US" w:eastAsia="zh-CN" w:bidi="ar"/>
              </w:rPr>
              <w:t>）</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6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机房网络核心交换</w:t>
            </w:r>
          </w:p>
        </w:tc>
        <w:tc>
          <w:tcPr>
            <w:tcW w:w="36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6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机房网闸</w:t>
            </w:r>
          </w:p>
        </w:tc>
        <w:tc>
          <w:tcPr>
            <w:tcW w:w="36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3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机房防火墙</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机房路由器</w:t>
            </w:r>
          </w:p>
        </w:tc>
        <w:tc>
          <w:tcPr>
            <w:tcW w:w="36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机房入侵检测</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机房UPS不间断电源</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套</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机房精密空调</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网络汇聚交换机</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网络接入交换机</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275</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服务器</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设备巡检与保养</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防火墙（一年）延保、软件升级费</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2"/>
                <w:rFonts w:hint="eastAsia" w:ascii="仿宋" w:hAnsi="仿宋" w:eastAsia="仿宋" w:cs="仿宋"/>
                <w:sz w:val="24"/>
                <w:szCs w:val="24"/>
                <w:highlight w:val="none"/>
                <w:lang w:val="en-US" w:eastAsia="zh-CN" w:bidi="ar"/>
              </w:rPr>
              <w:t>山石 SG-6000-E1700</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台</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自助机</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生殖院区）</w:t>
            </w:r>
          </w:p>
        </w:tc>
        <w:tc>
          <w:tcPr>
            <w:tcW w:w="3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延保一年（不含硬件）</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71"/>
                <w:rFonts w:hint="eastAsia" w:ascii="仿宋" w:hAnsi="仿宋" w:eastAsia="仿宋" w:cs="仿宋"/>
                <w:sz w:val="24"/>
                <w:szCs w:val="24"/>
                <w:highlight w:val="none"/>
                <w:lang w:val="en-US" w:eastAsia="zh-CN" w:bidi="ar"/>
              </w:rPr>
              <w:t>套</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71"/>
                <w:highlight w:val="none"/>
                <w:lang w:val="en-US" w:eastAsia="zh-CN" w:bidi="ar"/>
              </w:rPr>
            </w:pPr>
            <w:r>
              <w:rPr>
                <w:rFonts w:hint="eastAsia" w:ascii="仿宋" w:hAnsi="仿宋" w:eastAsia="仿宋" w:cs="仿宋"/>
                <w:color w:val="000000"/>
                <w:kern w:val="0"/>
                <w:sz w:val="24"/>
                <w:szCs w:val="24"/>
                <w:highlight w:val="none"/>
                <w:lang w:val="en-US" w:eastAsia="zh-CN"/>
              </w:rPr>
              <w:t>报 价 合 计</w:t>
            </w:r>
          </w:p>
        </w:tc>
        <w:tc>
          <w:tcPr>
            <w:tcW w:w="6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2"/>
        <w:rPr>
          <w:rFonts w:hint="eastAsia" w:ascii="仿宋" w:hAnsi="仿宋" w:eastAsia="仿宋" w:cs="仿宋"/>
          <w:b/>
          <w:bCs/>
          <w:color w:val="auto"/>
          <w:spacing w:val="16"/>
          <w:sz w:val="28"/>
          <w:szCs w:val="28"/>
          <w:highlight w:val="none"/>
          <w:lang w:eastAsia="zh-CN"/>
        </w:rPr>
      </w:pPr>
    </w:p>
    <w:p>
      <w:pPr>
        <w:pStyle w:val="4"/>
        <w:spacing w:before="0" w:after="0" w:line="460" w:lineRule="exact"/>
        <w:ind w:firstLine="0"/>
        <w:rPr>
          <w:color w:val="000000"/>
        </w:rPr>
      </w:pPr>
      <w:r>
        <w:rPr>
          <w:rFonts w:hint="eastAsia"/>
          <w:color w:val="000000"/>
        </w:rPr>
        <w:t>三、法定代表人授权书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4"/>
        <w:tabs>
          <w:tab w:val="center" w:pos="5076"/>
          <w:tab w:val="left" w:pos="8445"/>
        </w:tabs>
        <w:ind w:firstLine="0"/>
        <w:rPr>
          <w:color w:val="000000"/>
          <w:kern w:val="0"/>
        </w:rPr>
      </w:pPr>
      <w:r>
        <w:rPr>
          <w:rFonts w:hint="eastAsia"/>
          <w:color w:val="000000"/>
          <w:kern w:val="0"/>
        </w:rPr>
        <w:t>四、</w:t>
      </w:r>
      <w:r>
        <w:rPr>
          <w:rFonts w:hint="eastAsia"/>
          <w:color w:val="000000"/>
          <w:kern w:val="0"/>
          <w:lang w:val="en-US" w:eastAsia="zh-CN"/>
        </w:rPr>
        <w:t>承诺</w:t>
      </w:r>
      <w:r>
        <w:rPr>
          <w:rFonts w:hint="eastAsia"/>
          <w:color w:val="000000"/>
          <w:kern w:val="0"/>
        </w:rPr>
        <w:t>书</w:t>
      </w: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color w:val="000000"/>
          <w:kern w:val="0"/>
        </w:rPr>
      </w:pPr>
    </w:p>
    <w:p>
      <w:pPr>
        <w:pStyle w:val="4"/>
        <w:tabs>
          <w:tab w:val="center" w:pos="5076"/>
          <w:tab w:val="left" w:pos="8445"/>
        </w:tabs>
        <w:ind w:firstLine="0"/>
        <w:rPr>
          <w:rFonts w:hAnsi="宋体" w:cs="宋体"/>
          <w:color w:val="000000"/>
          <w:kern w:val="0"/>
          <w:sz w:val="27"/>
          <w:szCs w:val="27"/>
        </w:rPr>
      </w:pPr>
      <w:r>
        <w:rPr>
          <w:rFonts w:hint="eastAsia"/>
          <w:color w:val="000000"/>
          <w:kern w:val="0"/>
        </w:rPr>
        <w:t>五、响应供应商关于无重大违法记录书面声明函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4"/>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4"/>
        <w:rPr>
          <w:kern w:val="0"/>
        </w:rPr>
      </w:pPr>
      <w:r>
        <w:rPr>
          <w:rFonts w:hint="eastAsia"/>
          <w:kern w:val="0"/>
        </w:rPr>
        <w:t>六、响应供应商资格证明文件</w:t>
      </w:r>
    </w:p>
    <w:p>
      <w:pPr>
        <w:spacing w:line="360" w:lineRule="auto"/>
        <w:rPr>
          <w:rFonts w:hint="eastAsia"/>
          <w:sz w:val="30"/>
          <w:szCs w:val="30"/>
          <w:lang w:eastAsia="zh-CN"/>
        </w:rPr>
      </w:pPr>
      <w:r>
        <w:rPr>
          <w:rFonts w:hint="eastAsia"/>
          <w:sz w:val="30"/>
          <w:szCs w:val="30"/>
        </w:rPr>
        <w:t>1、营业执照、税务登记证、机构代码证（三证（五证）合一的提供三证（五证）合一证件）、银行开户许可证</w:t>
      </w:r>
      <w:r>
        <w:rPr>
          <w:rFonts w:hint="eastAsia"/>
          <w:sz w:val="30"/>
          <w:szCs w:val="30"/>
          <w:lang w:eastAsia="zh-CN"/>
        </w:rPr>
        <w:t>。</w:t>
      </w:r>
    </w:p>
    <w:p>
      <w:pPr>
        <w:pStyle w:val="2"/>
        <w:rPr>
          <w:rFonts w:hint="eastAsia"/>
          <w:lang w:eastAsia="zh-CN"/>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七、其他证明文件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headerReference r:id="rId7" w:type="default"/>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455"/>
      </w:tabs>
      <w:spacing w:before="190" w:line="219" w:lineRule="auto"/>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880745</wp:posOffset>
              </wp:positionH>
              <wp:positionV relativeFrom="page">
                <wp:posOffset>701040</wp:posOffset>
              </wp:positionV>
              <wp:extent cx="5798185" cy="9525"/>
              <wp:effectExtent l="0" t="0" r="0" b="0"/>
              <wp:wrapNone/>
              <wp:docPr id="5" name="矩形 5"/>
              <wp:cNvGraphicFramePr/>
              <a:graphic xmlns:a="http://schemas.openxmlformats.org/drawingml/2006/main">
                <a:graphicData uri="http://schemas.microsoft.com/office/word/2010/wordprocessingShape">
                  <wps:wsp>
                    <wps:cNvSpPr/>
                    <wps:spPr>
                      <a:xfrm>
                        <a:off x="0" y="0"/>
                        <a:ext cx="579818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55.2pt;height:0.75pt;width:456.55pt;mso-position-horizontal-relative:page;mso-position-vertical-relative:page;z-index:251659264;mso-width-relative:page;mso-height-relative:page;" fillcolor="#000000" filled="t" stroked="f" coordsize="21600,21600" o:allowincell="f" o:gfxdata="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h5+&#10;HtkAAAAMAQAADwAAAAAAAAABACAAAAAiAAAAZHJzL2Rvd25yZXYueG1sUEsBAhQAFAAAAAgAh07i&#10;QGtJo/OvAQAAXQMAAA4AAAAAAAAAAQAgAAAAKAEAAGRycy9lMm9Eb2MueG1sUEsFBgAAAAAGAAYA&#10;WQEAAEk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5DD4F"/>
    <w:multiLevelType w:val="singleLevel"/>
    <w:tmpl w:val="46F5DD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32A"/>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88C"/>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5743"/>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156352C"/>
    <w:rsid w:val="01787946"/>
    <w:rsid w:val="01B12E58"/>
    <w:rsid w:val="02021905"/>
    <w:rsid w:val="02054F52"/>
    <w:rsid w:val="02186A33"/>
    <w:rsid w:val="02355837"/>
    <w:rsid w:val="023575E5"/>
    <w:rsid w:val="02404022"/>
    <w:rsid w:val="024535A0"/>
    <w:rsid w:val="027A5940"/>
    <w:rsid w:val="02954528"/>
    <w:rsid w:val="029C7664"/>
    <w:rsid w:val="02D862C5"/>
    <w:rsid w:val="02F9334A"/>
    <w:rsid w:val="03217B69"/>
    <w:rsid w:val="03373831"/>
    <w:rsid w:val="035B751F"/>
    <w:rsid w:val="03724869"/>
    <w:rsid w:val="03920A67"/>
    <w:rsid w:val="03E2554B"/>
    <w:rsid w:val="040A684F"/>
    <w:rsid w:val="04697A1A"/>
    <w:rsid w:val="046E3282"/>
    <w:rsid w:val="047A1C27"/>
    <w:rsid w:val="0482288A"/>
    <w:rsid w:val="04884ACD"/>
    <w:rsid w:val="04CD650A"/>
    <w:rsid w:val="04D330E5"/>
    <w:rsid w:val="05571F68"/>
    <w:rsid w:val="055C3A53"/>
    <w:rsid w:val="057743B8"/>
    <w:rsid w:val="05791EDF"/>
    <w:rsid w:val="05B747B5"/>
    <w:rsid w:val="05C068EB"/>
    <w:rsid w:val="05C80770"/>
    <w:rsid w:val="05CF1AFF"/>
    <w:rsid w:val="05E25CD6"/>
    <w:rsid w:val="0644429B"/>
    <w:rsid w:val="06514C09"/>
    <w:rsid w:val="06C64923"/>
    <w:rsid w:val="06CB676A"/>
    <w:rsid w:val="06E94E42"/>
    <w:rsid w:val="072D11D3"/>
    <w:rsid w:val="07464042"/>
    <w:rsid w:val="074A1A7E"/>
    <w:rsid w:val="0764271A"/>
    <w:rsid w:val="07683FB9"/>
    <w:rsid w:val="076D7821"/>
    <w:rsid w:val="077F1302"/>
    <w:rsid w:val="079A5E3E"/>
    <w:rsid w:val="07D653C6"/>
    <w:rsid w:val="083640B7"/>
    <w:rsid w:val="08626C5A"/>
    <w:rsid w:val="087F5A5E"/>
    <w:rsid w:val="08A2174C"/>
    <w:rsid w:val="08BC0A60"/>
    <w:rsid w:val="08CE42EF"/>
    <w:rsid w:val="08DF7D3B"/>
    <w:rsid w:val="08F63846"/>
    <w:rsid w:val="08FD00FA"/>
    <w:rsid w:val="091C32AD"/>
    <w:rsid w:val="09420839"/>
    <w:rsid w:val="094B46B8"/>
    <w:rsid w:val="0963331B"/>
    <w:rsid w:val="099B7EFF"/>
    <w:rsid w:val="09AF4121"/>
    <w:rsid w:val="09B94F9F"/>
    <w:rsid w:val="09F935EE"/>
    <w:rsid w:val="09FE0C04"/>
    <w:rsid w:val="0A072DB6"/>
    <w:rsid w:val="0A1026E6"/>
    <w:rsid w:val="0A375EC4"/>
    <w:rsid w:val="0A590531"/>
    <w:rsid w:val="0A782765"/>
    <w:rsid w:val="0A8235E3"/>
    <w:rsid w:val="0A8F7AAE"/>
    <w:rsid w:val="0ABB6AF5"/>
    <w:rsid w:val="0ACF434F"/>
    <w:rsid w:val="0AF3003D"/>
    <w:rsid w:val="0B4D3BF1"/>
    <w:rsid w:val="0B837613"/>
    <w:rsid w:val="0B892750"/>
    <w:rsid w:val="0BAE2C4D"/>
    <w:rsid w:val="0BD25EA5"/>
    <w:rsid w:val="0BF50C54"/>
    <w:rsid w:val="0C0F70F9"/>
    <w:rsid w:val="0C8573BB"/>
    <w:rsid w:val="0CD93263"/>
    <w:rsid w:val="0CEE4F60"/>
    <w:rsid w:val="0CF85DDF"/>
    <w:rsid w:val="0D046532"/>
    <w:rsid w:val="0D222E5C"/>
    <w:rsid w:val="0D3B4EBB"/>
    <w:rsid w:val="0D51729D"/>
    <w:rsid w:val="0D927FE1"/>
    <w:rsid w:val="0DAE46EF"/>
    <w:rsid w:val="0DE437BE"/>
    <w:rsid w:val="0DEF71E2"/>
    <w:rsid w:val="0E686F94"/>
    <w:rsid w:val="0E7771D7"/>
    <w:rsid w:val="0E8A2A67"/>
    <w:rsid w:val="0EA93835"/>
    <w:rsid w:val="0EBE6BB4"/>
    <w:rsid w:val="0EE24DFF"/>
    <w:rsid w:val="0F16254C"/>
    <w:rsid w:val="0F3A0931"/>
    <w:rsid w:val="0F4E7F38"/>
    <w:rsid w:val="0FA97864"/>
    <w:rsid w:val="0FF0188C"/>
    <w:rsid w:val="1013711C"/>
    <w:rsid w:val="10233173"/>
    <w:rsid w:val="103D6CFD"/>
    <w:rsid w:val="104650B3"/>
    <w:rsid w:val="10572E1C"/>
    <w:rsid w:val="105F7D43"/>
    <w:rsid w:val="107C6D27"/>
    <w:rsid w:val="108A4FA0"/>
    <w:rsid w:val="108F25B6"/>
    <w:rsid w:val="10AB4F16"/>
    <w:rsid w:val="10FC60AC"/>
    <w:rsid w:val="11317B11"/>
    <w:rsid w:val="1145536B"/>
    <w:rsid w:val="11A77DD3"/>
    <w:rsid w:val="11CE35B2"/>
    <w:rsid w:val="11DC5CCF"/>
    <w:rsid w:val="11F31059"/>
    <w:rsid w:val="121462E2"/>
    <w:rsid w:val="12170AB5"/>
    <w:rsid w:val="122338FE"/>
    <w:rsid w:val="123C676E"/>
    <w:rsid w:val="12706417"/>
    <w:rsid w:val="12745F08"/>
    <w:rsid w:val="12C50511"/>
    <w:rsid w:val="12F249F7"/>
    <w:rsid w:val="12FE3A23"/>
    <w:rsid w:val="132B2696"/>
    <w:rsid w:val="136C3083"/>
    <w:rsid w:val="13D053C0"/>
    <w:rsid w:val="13DB5B12"/>
    <w:rsid w:val="13E946D3"/>
    <w:rsid w:val="142B6A9A"/>
    <w:rsid w:val="145D5421"/>
    <w:rsid w:val="14A44207"/>
    <w:rsid w:val="14C91E0F"/>
    <w:rsid w:val="14F43330"/>
    <w:rsid w:val="15437E13"/>
    <w:rsid w:val="15FF1F8C"/>
    <w:rsid w:val="16135A37"/>
    <w:rsid w:val="161A0B74"/>
    <w:rsid w:val="16300563"/>
    <w:rsid w:val="163C6D3C"/>
    <w:rsid w:val="1658169C"/>
    <w:rsid w:val="16657A77"/>
    <w:rsid w:val="16832BBD"/>
    <w:rsid w:val="16851192"/>
    <w:rsid w:val="169E6243"/>
    <w:rsid w:val="16AC5AB5"/>
    <w:rsid w:val="16CF5E02"/>
    <w:rsid w:val="17013AE2"/>
    <w:rsid w:val="17244C51"/>
    <w:rsid w:val="177D585E"/>
    <w:rsid w:val="179C380B"/>
    <w:rsid w:val="17AF353E"/>
    <w:rsid w:val="17CA481C"/>
    <w:rsid w:val="183103F7"/>
    <w:rsid w:val="18383533"/>
    <w:rsid w:val="184C3483"/>
    <w:rsid w:val="187D363C"/>
    <w:rsid w:val="188F4DBC"/>
    <w:rsid w:val="18A40BC9"/>
    <w:rsid w:val="18A84073"/>
    <w:rsid w:val="19153875"/>
    <w:rsid w:val="194F4FD8"/>
    <w:rsid w:val="19597C05"/>
    <w:rsid w:val="1990114D"/>
    <w:rsid w:val="19CD4AD5"/>
    <w:rsid w:val="19E2098A"/>
    <w:rsid w:val="1A710F7F"/>
    <w:rsid w:val="1AB31597"/>
    <w:rsid w:val="1AC217DA"/>
    <w:rsid w:val="1AD05CA5"/>
    <w:rsid w:val="1AD11A1D"/>
    <w:rsid w:val="1AD303D8"/>
    <w:rsid w:val="1AD35795"/>
    <w:rsid w:val="1B124510"/>
    <w:rsid w:val="1B252495"/>
    <w:rsid w:val="1B26620D"/>
    <w:rsid w:val="1B2D30F7"/>
    <w:rsid w:val="1B4072CF"/>
    <w:rsid w:val="1B860A5A"/>
    <w:rsid w:val="1BAE54A1"/>
    <w:rsid w:val="1BB630ED"/>
    <w:rsid w:val="1BD6378F"/>
    <w:rsid w:val="1BED2887"/>
    <w:rsid w:val="1C166281"/>
    <w:rsid w:val="1C2A4D37"/>
    <w:rsid w:val="1C2F4C4D"/>
    <w:rsid w:val="1C395ACC"/>
    <w:rsid w:val="1C511C98"/>
    <w:rsid w:val="1C5841A4"/>
    <w:rsid w:val="1C9F0025"/>
    <w:rsid w:val="1CA76EDA"/>
    <w:rsid w:val="1CC57360"/>
    <w:rsid w:val="1CCB0E1A"/>
    <w:rsid w:val="1CEB5018"/>
    <w:rsid w:val="1CF540E9"/>
    <w:rsid w:val="1D0E0767"/>
    <w:rsid w:val="1D986742"/>
    <w:rsid w:val="1D9F5E03"/>
    <w:rsid w:val="1DA67191"/>
    <w:rsid w:val="1DAA6C81"/>
    <w:rsid w:val="1DC06DA5"/>
    <w:rsid w:val="1E4F5A7B"/>
    <w:rsid w:val="1E935967"/>
    <w:rsid w:val="1E9D67E6"/>
    <w:rsid w:val="1EB15DEE"/>
    <w:rsid w:val="1EE51433"/>
    <w:rsid w:val="1FA140B4"/>
    <w:rsid w:val="1FC87893"/>
    <w:rsid w:val="20036B1D"/>
    <w:rsid w:val="201369F7"/>
    <w:rsid w:val="20166850"/>
    <w:rsid w:val="2021068F"/>
    <w:rsid w:val="207D067D"/>
    <w:rsid w:val="20D67D8D"/>
    <w:rsid w:val="20EE50D7"/>
    <w:rsid w:val="21022930"/>
    <w:rsid w:val="213D7E0C"/>
    <w:rsid w:val="215C1452"/>
    <w:rsid w:val="218E2416"/>
    <w:rsid w:val="21B75E11"/>
    <w:rsid w:val="21CD2F3E"/>
    <w:rsid w:val="22D447A0"/>
    <w:rsid w:val="22E26EBD"/>
    <w:rsid w:val="22EF5136"/>
    <w:rsid w:val="232E5C5F"/>
    <w:rsid w:val="235D02F2"/>
    <w:rsid w:val="2389558B"/>
    <w:rsid w:val="23963804"/>
    <w:rsid w:val="23D36806"/>
    <w:rsid w:val="242B4894"/>
    <w:rsid w:val="243E6375"/>
    <w:rsid w:val="249441E7"/>
    <w:rsid w:val="24FB7DC2"/>
    <w:rsid w:val="25184E18"/>
    <w:rsid w:val="25186BC6"/>
    <w:rsid w:val="255A0F8D"/>
    <w:rsid w:val="25675458"/>
    <w:rsid w:val="258129BE"/>
    <w:rsid w:val="25B54415"/>
    <w:rsid w:val="25EE7927"/>
    <w:rsid w:val="261332F5"/>
    <w:rsid w:val="26143832"/>
    <w:rsid w:val="263F63D5"/>
    <w:rsid w:val="26995AE5"/>
    <w:rsid w:val="27400656"/>
    <w:rsid w:val="27454B8F"/>
    <w:rsid w:val="27B34984"/>
    <w:rsid w:val="27C60B5C"/>
    <w:rsid w:val="27D50D9F"/>
    <w:rsid w:val="281F026C"/>
    <w:rsid w:val="282615FA"/>
    <w:rsid w:val="2835183D"/>
    <w:rsid w:val="28697739"/>
    <w:rsid w:val="28A864B3"/>
    <w:rsid w:val="28DC5012"/>
    <w:rsid w:val="290336EA"/>
    <w:rsid w:val="29143214"/>
    <w:rsid w:val="291E22D1"/>
    <w:rsid w:val="29347D47"/>
    <w:rsid w:val="293B7FB9"/>
    <w:rsid w:val="29524E24"/>
    <w:rsid w:val="296E14AB"/>
    <w:rsid w:val="29C54E43"/>
    <w:rsid w:val="29E03E25"/>
    <w:rsid w:val="29EC6874"/>
    <w:rsid w:val="2A157B78"/>
    <w:rsid w:val="2A816FBC"/>
    <w:rsid w:val="2A8E16D9"/>
    <w:rsid w:val="2A9071FF"/>
    <w:rsid w:val="2ABF7AE4"/>
    <w:rsid w:val="2B083239"/>
    <w:rsid w:val="2B0D0850"/>
    <w:rsid w:val="2B2D50D1"/>
    <w:rsid w:val="2B326508"/>
    <w:rsid w:val="2B925CFA"/>
    <w:rsid w:val="2BB1742D"/>
    <w:rsid w:val="2BD10A94"/>
    <w:rsid w:val="2BFA0DD4"/>
    <w:rsid w:val="2C477D91"/>
    <w:rsid w:val="2CD43CD9"/>
    <w:rsid w:val="2CD45AC9"/>
    <w:rsid w:val="2CEB0C53"/>
    <w:rsid w:val="2D236108"/>
    <w:rsid w:val="2D776454"/>
    <w:rsid w:val="2E0A551A"/>
    <w:rsid w:val="2E1F0FC6"/>
    <w:rsid w:val="2E2A197E"/>
    <w:rsid w:val="2E424CB4"/>
    <w:rsid w:val="2E475851"/>
    <w:rsid w:val="2E693FEF"/>
    <w:rsid w:val="2E7F1A64"/>
    <w:rsid w:val="2E9755F3"/>
    <w:rsid w:val="2E996F2D"/>
    <w:rsid w:val="2EA74B17"/>
    <w:rsid w:val="2F565CA1"/>
    <w:rsid w:val="2FA554FB"/>
    <w:rsid w:val="2FC5794B"/>
    <w:rsid w:val="2FF975F4"/>
    <w:rsid w:val="30896BCA"/>
    <w:rsid w:val="30A813AA"/>
    <w:rsid w:val="30D616E4"/>
    <w:rsid w:val="30FA1876"/>
    <w:rsid w:val="312C634A"/>
    <w:rsid w:val="31662A68"/>
    <w:rsid w:val="31C3610C"/>
    <w:rsid w:val="31EA3699"/>
    <w:rsid w:val="32110636"/>
    <w:rsid w:val="323867C0"/>
    <w:rsid w:val="323B3EF4"/>
    <w:rsid w:val="326C0551"/>
    <w:rsid w:val="328A6C2A"/>
    <w:rsid w:val="32991659"/>
    <w:rsid w:val="32A63A63"/>
    <w:rsid w:val="32DA370D"/>
    <w:rsid w:val="330B1B18"/>
    <w:rsid w:val="33865643"/>
    <w:rsid w:val="33AD0E22"/>
    <w:rsid w:val="33D97E69"/>
    <w:rsid w:val="33F60296"/>
    <w:rsid w:val="3472600C"/>
    <w:rsid w:val="34A71D15"/>
    <w:rsid w:val="34B41D3C"/>
    <w:rsid w:val="34F52A80"/>
    <w:rsid w:val="34FA0097"/>
    <w:rsid w:val="34FA1E45"/>
    <w:rsid w:val="353F1F4D"/>
    <w:rsid w:val="355E0625"/>
    <w:rsid w:val="35666A5B"/>
    <w:rsid w:val="35AD5109"/>
    <w:rsid w:val="35D2691D"/>
    <w:rsid w:val="360016DD"/>
    <w:rsid w:val="3643781B"/>
    <w:rsid w:val="36917C78"/>
    <w:rsid w:val="36932551"/>
    <w:rsid w:val="36C546D4"/>
    <w:rsid w:val="37072544"/>
    <w:rsid w:val="37144D14"/>
    <w:rsid w:val="37405933"/>
    <w:rsid w:val="385F690C"/>
    <w:rsid w:val="3882287D"/>
    <w:rsid w:val="38A60D97"/>
    <w:rsid w:val="38C369F1"/>
    <w:rsid w:val="38F65019"/>
    <w:rsid w:val="38FA68B7"/>
    <w:rsid w:val="390F1C37"/>
    <w:rsid w:val="39131727"/>
    <w:rsid w:val="391D123E"/>
    <w:rsid w:val="396E1053"/>
    <w:rsid w:val="397D3044"/>
    <w:rsid w:val="39804910"/>
    <w:rsid w:val="39BF18AF"/>
    <w:rsid w:val="39D54C2E"/>
    <w:rsid w:val="39FF1CAB"/>
    <w:rsid w:val="3A1E0383"/>
    <w:rsid w:val="3A395226"/>
    <w:rsid w:val="3A695377"/>
    <w:rsid w:val="3AB02FA5"/>
    <w:rsid w:val="3ABC194A"/>
    <w:rsid w:val="3B251BE5"/>
    <w:rsid w:val="3B3C3A5E"/>
    <w:rsid w:val="3B7010B2"/>
    <w:rsid w:val="3B9823B7"/>
    <w:rsid w:val="3BD43AE9"/>
    <w:rsid w:val="3BE70C49"/>
    <w:rsid w:val="3BE978F0"/>
    <w:rsid w:val="3C154B1E"/>
    <w:rsid w:val="3C1C6B44"/>
    <w:rsid w:val="3C4760FE"/>
    <w:rsid w:val="3C6504EB"/>
    <w:rsid w:val="3C9C7C85"/>
    <w:rsid w:val="3CA52FDE"/>
    <w:rsid w:val="3CF655E7"/>
    <w:rsid w:val="3D31661F"/>
    <w:rsid w:val="3D874491"/>
    <w:rsid w:val="3D932E36"/>
    <w:rsid w:val="3DD35141"/>
    <w:rsid w:val="3E634966"/>
    <w:rsid w:val="3E8804C1"/>
    <w:rsid w:val="3E976BD1"/>
    <w:rsid w:val="3E9A1FA2"/>
    <w:rsid w:val="3EDF1C80"/>
    <w:rsid w:val="3F3B3785"/>
    <w:rsid w:val="3F5605BF"/>
    <w:rsid w:val="3F6902F3"/>
    <w:rsid w:val="3FEB6F5A"/>
    <w:rsid w:val="400C6ED0"/>
    <w:rsid w:val="407707ED"/>
    <w:rsid w:val="407E342A"/>
    <w:rsid w:val="4081341A"/>
    <w:rsid w:val="40D0614F"/>
    <w:rsid w:val="419929E5"/>
    <w:rsid w:val="41D13F2D"/>
    <w:rsid w:val="421F113C"/>
    <w:rsid w:val="422229DB"/>
    <w:rsid w:val="42660B19"/>
    <w:rsid w:val="42A33B1C"/>
    <w:rsid w:val="42B75819"/>
    <w:rsid w:val="42D00689"/>
    <w:rsid w:val="4311712F"/>
    <w:rsid w:val="431542ED"/>
    <w:rsid w:val="431762B8"/>
    <w:rsid w:val="4379487C"/>
    <w:rsid w:val="43BC29BB"/>
    <w:rsid w:val="43F14D5A"/>
    <w:rsid w:val="441C6C9E"/>
    <w:rsid w:val="443D1D4E"/>
    <w:rsid w:val="44472BF1"/>
    <w:rsid w:val="444A6219"/>
    <w:rsid w:val="44581EC4"/>
    <w:rsid w:val="446B68BB"/>
    <w:rsid w:val="447C2876"/>
    <w:rsid w:val="44DF70AD"/>
    <w:rsid w:val="44FE14DD"/>
    <w:rsid w:val="45097E82"/>
    <w:rsid w:val="453018B3"/>
    <w:rsid w:val="453779AD"/>
    <w:rsid w:val="45CB2D71"/>
    <w:rsid w:val="45E8282B"/>
    <w:rsid w:val="46582E6F"/>
    <w:rsid w:val="466730B2"/>
    <w:rsid w:val="468C2B19"/>
    <w:rsid w:val="46A2470C"/>
    <w:rsid w:val="46D66418"/>
    <w:rsid w:val="46ED7A5B"/>
    <w:rsid w:val="46F32B98"/>
    <w:rsid w:val="46F801AE"/>
    <w:rsid w:val="47190850"/>
    <w:rsid w:val="476D46F8"/>
    <w:rsid w:val="478B4B7E"/>
    <w:rsid w:val="478E1645"/>
    <w:rsid w:val="47F70466"/>
    <w:rsid w:val="47FB7F56"/>
    <w:rsid w:val="481E59F2"/>
    <w:rsid w:val="483376F0"/>
    <w:rsid w:val="48515DC8"/>
    <w:rsid w:val="48537D92"/>
    <w:rsid w:val="486F26F2"/>
    <w:rsid w:val="48735D3E"/>
    <w:rsid w:val="48A453A1"/>
    <w:rsid w:val="48E42798"/>
    <w:rsid w:val="49044BE8"/>
    <w:rsid w:val="493279A7"/>
    <w:rsid w:val="4938621C"/>
    <w:rsid w:val="493A685C"/>
    <w:rsid w:val="494871CB"/>
    <w:rsid w:val="49584F34"/>
    <w:rsid w:val="495F62C2"/>
    <w:rsid w:val="4961203A"/>
    <w:rsid w:val="49CB1BAA"/>
    <w:rsid w:val="4A161077"/>
    <w:rsid w:val="4A3B73C8"/>
    <w:rsid w:val="4A7162AD"/>
    <w:rsid w:val="4AAA7A11"/>
    <w:rsid w:val="4AD30D16"/>
    <w:rsid w:val="4B103D18"/>
    <w:rsid w:val="4B3365A7"/>
    <w:rsid w:val="4B774EC6"/>
    <w:rsid w:val="4B9366F7"/>
    <w:rsid w:val="4B9C37FE"/>
    <w:rsid w:val="4BD27220"/>
    <w:rsid w:val="4BEA4569"/>
    <w:rsid w:val="4C324162"/>
    <w:rsid w:val="4C4A14AC"/>
    <w:rsid w:val="4C5C4D3B"/>
    <w:rsid w:val="4C8229F4"/>
    <w:rsid w:val="4C864ECD"/>
    <w:rsid w:val="4C997D3D"/>
    <w:rsid w:val="4CE4720A"/>
    <w:rsid w:val="4D0E24D9"/>
    <w:rsid w:val="4D9724CF"/>
    <w:rsid w:val="4DBF39D2"/>
    <w:rsid w:val="4E5263F6"/>
    <w:rsid w:val="4E742810"/>
    <w:rsid w:val="4EBB3F9B"/>
    <w:rsid w:val="4F644633"/>
    <w:rsid w:val="4F8D4AFE"/>
    <w:rsid w:val="4F9111A0"/>
    <w:rsid w:val="4FC7696F"/>
    <w:rsid w:val="4FC926E8"/>
    <w:rsid w:val="4FD01CC8"/>
    <w:rsid w:val="4FD85101"/>
    <w:rsid w:val="4FEB6B02"/>
    <w:rsid w:val="4FED3E5C"/>
    <w:rsid w:val="500951DA"/>
    <w:rsid w:val="501C40BF"/>
    <w:rsid w:val="50463D38"/>
    <w:rsid w:val="50487AB0"/>
    <w:rsid w:val="506708F8"/>
    <w:rsid w:val="50947199"/>
    <w:rsid w:val="50970A38"/>
    <w:rsid w:val="50F73284"/>
    <w:rsid w:val="513444D8"/>
    <w:rsid w:val="516059AF"/>
    <w:rsid w:val="51E67581"/>
    <w:rsid w:val="51FF0643"/>
    <w:rsid w:val="5224663F"/>
    <w:rsid w:val="52636E23"/>
    <w:rsid w:val="52884ADC"/>
    <w:rsid w:val="52A64F62"/>
    <w:rsid w:val="52CA29FF"/>
    <w:rsid w:val="531559DF"/>
    <w:rsid w:val="53446C55"/>
    <w:rsid w:val="53514F2A"/>
    <w:rsid w:val="535E75EB"/>
    <w:rsid w:val="536746F1"/>
    <w:rsid w:val="53682217"/>
    <w:rsid w:val="539B25ED"/>
    <w:rsid w:val="53A07C03"/>
    <w:rsid w:val="53F65A75"/>
    <w:rsid w:val="5402441A"/>
    <w:rsid w:val="540E2931"/>
    <w:rsid w:val="543B3EB0"/>
    <w:rsid w:val="547B781D"/>
    <w:rsid w:val="547E7F44"/>
    <w:rsid w:val="549C5253"/>
    <w:rsid w:val="54AC6C68"/>
    <w:rsid w:val="54EB1352"/>
    <w:rsid w:val="55052414"/>
    <w:rsid w:val="553E1482"/>
    <w:rsid w:val="556C2493"/>
    <w:rsid w:val="55963011"/>
    <w:rsid w:val="55A27C63"/>
    <w:rsid w:val="55A90FF1"/>
    <w:rsid w:val="55B055F7"/>
    <w:rsid w:val="55E97640"/>
    <w:rsid w:val="562C39D0"/>
    <w:rsid w:val="562E7748"/>
    <w:rsid w:val="56440D1A"/>
    <w:rsid w:val="56BF65F2"/>
    <w:rsid w:val="56CB31E9"/>
    <w:rsid w:val="571132F2"/>
    <w:rsid w:val="57527466"/>
    <w:rsid w:val="57601B83"/>
    <w:rsid w:val="577D2735"/>
    <w:rsid w:val="57CA69DC"/>
    <w:rsid w:val="58030761"/>
    <w:rsid w:val="58A0643A"/>
    <w:rsid w:val="58A22565"/>
    <w:rsid w:val="58AE691E"/>
    <w:rsid w:val="58D81BED"/>
    <w:rsid w:val="58E93DFA"/>
    <w:rsid w:val="5933709C"/>
    <w:rsid w:val="59374B66"/>
    <w:rsid w:val="59417793"/>
    <w:rsid w:val="594B23BF"/>
    <w:rsid w:val="597E09E7"/>
    <w:rsid w:val="59955E46"/>
    <w:rsid w:val="59BB7545"/>
    <w:rsid w:val="59C26B25"/>
    <w:rsid w:val="5A043337"/>
    <w:rsid w:val="5A096502"/>
    <w:rsid w:val="5A5A0B0C"/>
    <w:rsid w:val="5A6574B1"/>
    <w:rsid w:val="5A8E07B6"/>
    <w:rsid w:val="5A932652"/>
    <w:rsid w:val="5AD07A44"/>
    <w:rsid w:val="5AE07335"/>
    <w:rsid w:val="5AF076C2"/>
    <w:rsid w:val="5B1213E7"/>
    <w:rsid w:val="5B386973"/>
    <w:rsid w:val="5BB95D06"/>
    <w:rsid w:val="5C0F3D1F"/>
    <w:rsid w:val="5C1D6295"/>
    <w:rsid w:val="5C6C2D78"/>
    <w:rsid w:val="5C7D6D34"/>
    <w:rsid w:val="5C987E03"/>
    <w:rsid w:val="5C9F314E"/>
    <w:rsid w:val="5CB564CD"/>
    <w:rsid w:val="5CDD5A24"/>
    <w:rsid w:val="5D2D2508"/>
    <w:rsid w:val="5D30024A"/>
    <w:rsid w:val="5D5C2DED"/>
    <w:rsid w:val="5D704AEA"/>
    <w:rsid w:val="5DAF7086"/>
    <w:rsid w:val="5DBB5D65"/>
    <w:rsid w:val="5DC14E07"/>
    <w:rsid w:val="5E005E6E"/>
    <w:rsid w:val="5E2E0A91"/>
    <w:rsid w:val="5ECE7D1A"/>
    <w:rsid w:val="5EE0260A"/>
    <w:rsid w:val="5EEE5CC7"/>
    <w:rsid w:val="5F555D46"/>
    <w:rsid w:val="5FE62A90"/>
    <w:rsid w:val="600B110F"/>
    <w:rsid w:val="60AF72AD"/>
    <w:rsid w:val="614147D4"/>
    <w:rsid w:val="61B52ACC"/>
    <w:rsid w:val="61CE452B"/>
    <w:rsid w:val="61E85C2F"/>
    <w:rsid w:val="61FC06FB"/>
    <w:rsid w:val="62170FBA"/>
    <w:rsid w:val="623954AB"/>
    <w:rsid w:val="62490B14"/>
    <w:rsid w:val="62764951"/>
    <w:rsid w:val="628D57F7"/>
    <w:rsid w:val="62D358FF"/>
    <w:rsid w:val="62FB6C04"/>
    <w:rsid w:val="630C0E11"/>
    <w:rsid w:val="63112987"/>
    <w:rsid w:val="631F28F3"/>
    <w:rsid w:val="632048BD"/>
    <w:rsid w:val="63473BF7"/>
    <w:rsid w:val="636721B0"/>
    <w:rsid w:val="63896C89"/>
    <w:rsid w:val="6393508F"/>
    <w:rsid w:val="63B84AF5"/>
    <w:rsid w:val="63C45248"/>
    <w:rsid w:val="64266796"/>
    <w:rsid w:val="646802C9"/>
    <w:rsid w:val="650A75D2"/>
    <w:rsid w:val="65F067C8"/>
    <w:rsid w:val="66091638"/>
    <w:rsid w:val="661B34FB"/>
    <w:rsid w:val="6635067F"/>
    <w:rsid w:val="668D027E"/>
    <w:rsid w:val="6695111E"/>
    <w:rsid w:val="66AE6302"/>
    <w:rsid w:val="66B23A7E"/>
    <w:rsid w:val="66C043ED"/>
    <w:rsid w:val="66F47ABD"/>
    <w:rsid w:val="67211342"/>
    <w:rsid w:val="67344343"/>
    <w:rsid w:val="67746F85"/>
    <w:rsid w:val="67C65A33"/>
    <w:rsid w:val="681439D1"/>
    <w:rsid w:val="686B0388"/>
    <w:rsid w:val="6938470E"/>
    <w:rsid w:val="693966D8"/>
    <w:rsid w:val="69CE0BCF"/>
    <w:rsid w:val="69DF2DDC"/>
    <w:rsid w:val="69E93C5A"/>
    <w:rsid w:val="6A097E59"/>
    <w:rsid w:val="6A462E5B"/>
    <w:rsid w:val="6A690EFF"/>
    <w:rsid w:val="6A7379C8"/>
    <w:rsid w:val="6B380F1E"/>
    <w:rsid w:val="6B6712DB"/>
    <w:rsid w:val="6B811C71"/>
    <w:rsid w:val="6B8754D9"/>
    <w:rsid w:val="6B9B2D32"/>
    <w:rsid w:val="6B9D2F4E"/>
    <w:rsid w:val="6BAE017C"/>
    <w:rsid w:val="6BBD40E6"/>
    <w:rsid w:val="6BC009EB"/>
    <w:rsid w:val="6BE02E3B"/>
    <w:rsid w:val="6BE741CA"/>
    <w:rsid w:val="6C2076DB"/>
    <w:rsid w:val="6C472EBA"/>
    <w:rsid w:val="6C572D7C"/>
    <w:rsid w:val="6C67530A"/>
    <w:rsid w:val="6C841A18"/>
    <w:rsid w:val="6D2D0302"/>
    <w:rsid w:val="6D415B5B"/>
    <w:rsid w:val="6D433682"/>
    <w:rsid w:val="6D5238C5"/>
    <w:rsid w:val="6D6A3304"/>
    <w:rsid w:val="6D763A57"/>
    <w:rsid w:val="6D885538"/>
    <w:rsid w:val="6DB91056"/>
    <w:rsid w:val="6DCC7B1B"/>
    <w:rsid w:val="6DD24A05"/>
    <w:rsid w:val="6DD32C57"/>
    <w:rsid w:val="6E5042A8"/>
    <w:rsid w:val="6E7D2BC3"/>
    <w:rsid w:val="6EB34837"/>
    <w:rsid w:val="6EC30F1E"/>
    <w:rsid w:val="6F084B83"/>
    <w:rsid w:val="6F773AB6"/>
    <w:rsid w:val="6F887A72"/>
    <w:rsid w:val="6FC62348"/>
    <w:rsid w:val="6FCF744E"/>
    <w:rsid w:val="6FEF7AF1"/>
    <w:rsid w:val="700C27C9"/>
    <w:rsid w:val="705838E8"/>
    <w:rsid w:val="70657DB3"/>
    <w:rsid w:val="70F21646"/>
    <w:rsid w:val="71155335"/>
    <w:rsid w:val="711D243B"/>
    <w:rsid w:val="712D5943"/>
    <w:rsid w:val="718A7AD1"/>
    <w:rsid w:val="71995F66"/>
    <w:rsid w:val="71C254BD"/>
    <w:rsid w:val="71CC3C20"/>
    <w:rsid w:val="71F96A05"/>
    <w:rsid w:val="72162485"/>
    <w:rsid w:val="72330169"/>
    <w:rsid w:val="724834E8"/>
    <w:rsid w:val="72A5093A"/>
    <w:rsid w:val="72BB1F0C"/>
    <w:rsid w:val="72E27499"/>
    <w:rsid w:val="72E41463"/>
    <w:rsid w:val="72FA2A34"/>
    <w:rsid w:val="735F0AE9"/>
    <w:rsid w:val="73995FEB"/>
    <w:rsid w:val="73B928EF"/>
    <w:rsid w:val="73D56FFD"/>
    <w:rsid w:val="73DA4614"/>
    <w:rsid w:val="73E76782"/>
    <w:rsid w:val="742049FC"/>
    <w:rsid w:val="742A559B"/>
    <w:rsid w:val="74546174"/>
    <w:rsid w:val="745F077D"/>
    <w:rsid w:val="75093403"/>
    <w:rsid w:val="75840CDB"/>
    <w:rsid w:val="75864A53"/>
    <w:rsid w:val="75BA64AB"/>
    <w:rsid w:val="75C8506C"/>
    <w:rsid w:val="7601232C"/>
    <w:rsid w:val="760D0CD1"/>
    <w:rsid w:val="76147DC2"/>
    <w:rsid w:val="764566BC"/>
    <w:rsid w:val="7682346D"/>
    <w:rsid w:val="76870A83"/>
    <w:rsid w:val="76C43A85"/>
    <w:rsid w:val="76D11CFE"/>
    <w:rsid w:val="76D53201"/>
    <w:rsid w:val="76EC08E6"/>
    <w:rsid w:val="7700287C"/>
    <w:rsid w:val="770519A8"/>
    <w:rsid w:val="77440722"/>
    <w:rsid w:val="77560455"/>
    <w:rsid w:val="77672662"/>
    <w:rsid w:val="77A85155"/>
    <w:rsid w:val="77D5581E"/>
    <w:rsid w:val="77D71596"/>
    <w:rsid w:val="77FA34D6"/>
    <w:rsid w:val="787B769A"/>
    <w:rsid w:val="789559D4"/>
    <w:rsid w:val="78E24696"/>
    <w:rsid w:val="797D616D"/>
    <w:rsid w:val="799534B7"/>
    <w:rsid w:val="79F93A46"/>
    <w:rsid w:val="7A0348C4"/>
    <w:rsid w:val="7A3E47CA"/>
    <w:rsid w:val="7A3E76AA"/>
    <w:rsid w:val="7A692C8E"/>
    <w:rsid w:val="7A7C6425"/>
    <w:rsid w:val="7A8A73DB"/>
    <w:rsid w:val="7AEA5A84"/>
    <w:rsid w:val="7AF64429"/>
    <w:rsid w:val="7B034450"/>
    <w:rsid w:val="7B087CB8"/>
    <w:rsid w:val="7B167881"/>
    <w:rsid w:val="7B62561B"/>
    <w:rsid w:val="7B88662C"/>
    <w:rsid w:val="7B9559F0"/>
    <w:rsid w:val="7BAD1EBA"/>
    <w:rsid w:val="7BB75966"/>
    <w:rsid w:val="7BC2430B"/>
    <w:rsid w:val="7C06244A"/>
    <w:rsid w:val="7C0B5CB2"/>
    <w:rsid w:val="7C5C650E"/>
    <w:rsid w:val="7C7A4BE6"/>
    <w:rsid w:val="7CEC5AE4"/>
    <w:rsid w:val="7D1666BD"/>
    <w:rsid w:val="7D9228A4"/>
    <w:rsid w:val="7D9677FD"/>
    <w:rsid w:val="7DFF1847"/>
    <w:rsid w:val="7E1A21DD"/>
    <w:rsid w:val="7E7E276B"/>
    <w:rsid w:val="7ECB1729"/>
    <w:rsid w:val="7EE50A3C"/>
    <w:rsid w:val="7EEC2286"/>
    <w:rsid w:val="7F160BF6"/>
    <w:rsid w:val="7F17496E"/>
    <w:rsid w:val="7F3D43D5"/>
    <w:rsid w:val="7F596D35"/>
    <w:rsid w:val="7FBA5A25"/>
    <w:rsid w:val="7FCE4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
    <w:autoRedefine/>
    <w:qFormat/>
    <w:uiPriority w:val="0"/>
    <w:pPr>
      <w:spacing w:after="120"/>
    </w:pPr>
    <w:rPr>
      <w:sz w:val="24"/>
      <w:szCs w:val="20"/>
    </w:rPr>
  </w:style>
  <w:style w:type="paragraph" w:styleId="7">
    <w:name w:val="toc 7"/>
    <w:basedOn w:val="1"/>
    <w:next w:val="1"/>
    <w:autoRedefine/>
    <w:semiHidden/>
    <w:qFormat/>
    <w:uiPriority w:val="39"/>
    <w:pPr>
      <w:ind w:left="1260"/>
      <w:jc w:val="left"/>
    </w:pPr>
    <w:rPr>
      <w:sz w:val="20"/>
      <w:szCs w:val="20"/>
    </w:rPr>
  </w:style>
  <w:style w:type="paragraph" w:styleId="8">
    <w:name w:val="Document Map"/>
    <w:basedOn w:val="1"/>
    <w:link w:val="61"/>
    <w:autoRedefine/>
    <w:qFormat/>
    <w:uiPriority w:val="0"/>
    <w:rPr>
      <w:rFonts w:ascii="宋体"/>
      <w:sz w:val="18"/>
      <w:szCs w:val="18"/>
    </w:rPr>
  </w:style>
  <w:style w:type="paragraph" w:styleId="9">
    <w:name w:val="annotation text"/>
    <w:basedOn w:val="1"/>
    <w:link w:val="45"/>
    <w:autoRedefine/>
    <w:semiHidden/>
    <w:qFormat/>
    <w:uiPriority w:val="99"/>
    <w:pPr>
      <w:jc w:val="left"/>
    </w:pPr>
    <w:rPr>
      <w:szCs w:val="20"/>
    </w:rPr>
  </w:style>
  <w:style w:type="paragraph" w:styleId="10">
    <w:name w:val="toc 5"/>
    <w:basedOn w:val="1"/>
    <w:next w:val="1"/>
    <w:autoRedefine/>
    <w:semiHidden/>
    <w:qFormat/>
    <w:uiPriority w:val="39"/>
    <w:pPr>
      <w:ind w:left="840"/>
      <w:jc w:val="left"/>
    </w:pPr>
    <w:rPr>
      <w:sz w:val="20"/>
      <w:szCs w:val="20"/>
    </w:rPr>
  </w:style>
  <w:style w:type="paragraph" w:styleId="11">
    <w:name w:val="toc 3"/>
    <w:basedOn w:val="1"/>
    <w:next w:val="1"/>
    <w:autoRedefine/>
    <w:semiHidden/>
    <w:qFormat/>
    <w:uiPriority w:val="39"/>
    <w:pPr>
      <w:ind w:left="420"/>
      <w:jc w:val="left"/>
    </w:pPr>
    <w:rPr>
      <w:sz w:val="20"/>
      <w:szCs w:val="20"/>
    </w:rPr>
  </w:style>
  <w:style w:type="paragraph" w:styleId="12">
    <w:name w:val="Plain Text"/>
    <w:basedOn w:val="1"/>
    <w:link w:val="38"/>
    <w:autoRedefine/>
    <w:qFormat/>
    <w:uiPriority w:val="0"/>
    <w:rPr>
      <w:rFonts w:ascii="宋体" w:hAnsi="Courier New"/>
      <w:szCs w:val="20"/>
    </w:rPr>
  </w:style>
  <w:style w:type="paragraph" w:styleId="13">
    <w:name w:val="toc 8"/>
    <w:basedOn w:val="1"/>
    <w:next w:val="1"/>
    <w:autoRedefine/>
    <w:semiHidden/>
    <w:qFormat/>
    <w:uiPriority w:val="39"/>
    <w:pPr>
      <w:ind w:left="1470"/>
      <w:jc w:val="left"/>
    </w:pPr>
    <w:rPr>
      <w:sz w:val="20"/>
      <w:szCs w:val="20"/>
    </w:rPr>
  </w:style>
  <w:style w:type="paragraph" w:styleId="14">
    <w:name w:val="Date"/>
    <w:basedOn w:val="1"/>
    <w:next w:val="1"/>
    <w:link w:val="50"/>
    <w:autoRedefine/>
    <w:qFormat/>
    <w:uiPriority w:val="99"/>
    <w:pPr>
      <w:ind w:left="100" w:leftChars="2500"/>
    </w:pPr>
  </w:style>
  <w:style w:type="paragraph" w:styleId="15">
    <w:name w:val="Balloon Text"/>
    <w:basedOn w:val="1"/>
    <w:link w:val="42"/>
    <w:autoRedefine/>
    <w:semiHidden/>
    <w:qFormat/>
    <w:uiPriority w:val="99"/>
    <w:rPr>
      <w:sz w:val="18"/>
      <w:szCs w:val="18"/>
    </w:rPr>
  </w:style>
  <w:style w:type="paragraph" w:styleId="16">
    <w:name w:val="footer"/>
    <w:basedOn w:val="1"/>
    <w:link w:val="41"/>
    <w:autoRedefine/>
    <w:qFormat/>
    <w:uiPriority w:val="99"/>
    <w:pPr>
      <w:tabs>
        <w:tab w:val="center" w:pos="4153"/>
        <w:tab w:val="right" w:pos="8306"/>
      </w:tabs>
      <w:snapToGrid w:val="0"/>
      <w:jc w:val="left"/>
    </w:pPr>
    <w:rPr>
      <w:sz w:val="18"/>
      <w:szCs w:val="18"/>
    </w:rPr>
  </w:style>
  <w:style w:type="paragraph" w:styleId="17">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b/>
      <w:bCs/>
      <w:sz w:val="20"/>
      <w:szCs w:val="20"/>
    </w:rPr>
  </w:style>
  <w:style w:type="paragraph" w:styleId="19">
    <w:name w:val="toc 4"/>
    <w:basedOn w:val="1"/>
    <w:next w:val="1"/>
    <w:autoRedefine/>
    <w:semiHidden/>
    <w:qFormat/>
    <w:uiPriority w:val="39"/>
    <w:pPr>
      <w:ind w:left="630"/>
      <w:jc w:val="left"/>
    </w:pPr>
    <w:rPr>
      <w:sz w:val="20"/>
      <w:szCs w:val="20"/>
    </w:rPr>
  </w:style>
  <w:style w:type="paragraph" w:styleId="20">
    <w:name w:val="toc 6"/>
    <w:basedOn w:val="1"/>
    <w:next w:val="1"/>
    <w:autoRedefine/>
    <w:semiHidden/>
    <w:qFormat/>
    <w:uiPriority w:val="39"/>
    <w:pPr>
      <w:ind w:left="1050"/>
      <w:jc w:val="left"/>
    </w:pPr>
    <w:rPr>
      <w:sz w:val="20"/>
      <w:szCs w:val="20"/>
    </w:rPr>
  </w:style>
  <w:style w:type="paragraph" w:styleId="21">
    <w:name w:val="toc 2"/>
    <w:basedOn w:val="1"/>
    <w:next w:val="1"/>
    <w:autoRedefine/>
    <w:qFormat/>
    <w:uiPriority w:val="39"/>
    <w:pPr>
      <w:spacing w:before="120"/>
      <w:ind w:left="210"/>
      <w:jc w:val="left"/>
    </w:pPr>
    <w:rPr>
      <w:i/>
      <w:iCs/>
      <w:sz w:val="20"/>
      <w:szCs w:val="20"/>
    </w:rPr>
  </w:style>
  <w:style w:type="paragraph" w:styleId="22">
    <w:name w:val="toc 9"/>
    <w:basedOn w:val="1"/>
    <w:next w:val="1"/>
    <w:autoRedefine/>
    <w:semiHidden/>
    <w:qFormat/>
    <w:uiPriority w:val="39"/>
    <w:pPr>
      <w:ind w:left="1680"/>
      <w:jc w:val="left"/>
    </w:pPr>
    <w:rPr>
      <w:sz w:val="20"/>
      <w:szCs w:val="2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22"/>
    <w:rPr>
      <w:b/>
    </w:rPr>
  </w:style>
  <w:style w:type="character" w:styleId="28">
    <w:name w:val="page number"/>
    <w:autoRedefine/>
    <w:qFormat/>
    <w:uiPriority w:val="99"/>
    <w:rPr>
      <w:rFonts w:cs="Times New Roman"/>
    </w:rPr>
  </w:style>
  <w:style w:type="character" w:styleId="29">
    <w:name w:val="FollowedHyperlink"/>
    <w:autoRedefine/>
    <w:qFormat/>
    <w:uiPriority w:val="0"/>
    <w:rPr>
      <w:color w:val="800080"/>
      <w:u w:val="none"/>
    </w:rPr>
  </w:style>
  <w:style w:type="character" w:styleId="30">
    <w:name w:val="Hyperlink"/>
    <w:basedOn w:val="26"/>
    <w:autoRedefine/>
    <w:qFormat/>
    <w:uiPriority w:val="99"/>
    <w:rPr>
      <w:color w:val="0000FF"/>
      <w:u w:val="none"/>
    </w:rPr>
  </w:style>
  <w:style w:type="character" w:customStyle="1" w:styleId="31">
    <w:name w:val="Plain Text Char1"/>
    <w:autoRedefine/>
    <w:semiHidden/>
    <w:qFormat/>
    <w:uiPriority w:val="99"/>
    <w:rPr>
      <w:rFonts w:ascii="宋体" w:hAnsi="Courier New" w:cs="Courier New"/>
      <w:kern w:val="2"/>
      <w:sz w:val="21"/>
      <w:szCs w:val="21"/>
    </w:rPr>
  </w:style>
  <w:style w:type="character" w:customStyle="1" w:styleId="32">
    <w:name w:val="hang1"/>
    <w:autoRedefine/>
    <w:qFormat/>
    <w:uiPriority w:val="0"/>
    <w:rPr>
      <w:rFonts w:cs="Times New Roman"/>
    </w:rPr>
  </w:style>
  <w:style w:type="character" w:customStyle="1" w:styleId="33">
    <w:name w:val="纯文本 Char1"/>
    <w:autoRedefine/>
    <w:qFormat/>
    <w:locked/>
    <w:uiPriority w:val="0"/>
    <w:rPr>
      <w:rFonts w:ascii="宋体" w:hAnsi="Courier New" w:eastAsia="宋体"/>
      <w:kern w:val="2"/>
      <w:sz w:val="21"/>
      <w:lang w:val="en-US" w:eastAsia="zh-CN"/>
    </w:rPr>
  </w:style>
  <w:style w:type="character" w:customStyle="1" w:styleId="34">
    <w:name w:val="Body Text Char1"/>
    <w:autoRedefine/>
    <w:semiHidden/>
    <w:qFormat/>
    <w:uiPriority w:val="99"/>
    <w:rPr>
      <w:kern w:val="2"/>
      <w:sz w:val="21"/>
      <w:szCs w:val="24"/>
    </w:rPr>
  </w:style>
  <w:style w:type="character" w:customStyle="1" w:styleId="35">
    <w:name w:val="页眉 Char"/>
    <w:link w:val="17"/>
    <w:autoRedefine/>
    <w:semiHidden/>
    <w:qFormat/>
    <w:uiPriority w:val="99"/>
    <w:rPr>
      <w:kern w:val="2"/>
      <w:sz w:val="18"/>
      <w:szCs w:val="18"/>
    </w:rPr>
  </w:style>
  <w:style w:type="character" w:customStyle="1" w:styleId="36">
    <w:name w:val="正文文本 Char1"/>
    <w:autoRedefine/>
    <w:qFormat/>
    <w:uiPriority w:val="0"/>
    <w:rPr>
      <w:kern w:val="2"/>
      <w:sz w:val="24"/>
    </w:rPr>
  </w:style>
  <w:style w:type="character" w:customStyle="1" w:styleId="37">
    <w:name w:val="普通文字 Char2"/>
    <w:autoRedefine/>
    <w:qFormat/>
    <w:locked/>
    <w:uiPriority w:val="0"/>
    <w:rPr>
      <w:rFonts w:ascii="宋体" w:hAnsi="Courier New" w:eastAsia="宋体"/>
    </w:rPr>
  </w:style>
  <w:style w:type="character" w:customStyle="1" w:styleId="38">
    <w:name w:val="纯文本 Char"/>
    <w:link w:val="12"/>
    <w:autoRedefine/>
    <w:qFormat/>
    <w:locked/>
    <w:uiPriority w:val="0"/>
    <w:rPr>
      <w:rFonts w:ascii="宋体" w:hAnsi="Courier New" w:eastAsia="宋体"/>
      <w:kern w:val="2"/>
      <w:sz w:val="21"/>
      <w:lang w:val="en-US" w:eastAsia="zh-CN"/>
    </w:rPr>
  </w:style>
  <w:style w:type="character" w:customStyle="1" w:styleId="39">
    <w:name w:val="标题 2 Char"/>
    <w:link w:val="4"/>
    <w:autoRedefine/>
    <w:qFormat/>
    <w:locked/>
    <w:uiPriority w:val="0"/>
    <w:rPr>
      <w:rFonts w:ascii="Arial" w:hAnsi="Arial" w:eastAsia="黑体"/>
      <w:b/>
      <w:kern w:val="2"/>
      <w:sz w:val="32"/>
      <w:lang w:val="en-US" w:eastAsia="zh-CN"/>
    </w:rPr>
  </w:style>
  <w:style w:type="character" w:customStyle="1" w:styleId="40">
    <w:name w:val="Char Char2"/>
    <w:autoRedefine/>
    <w:qFormat/>
    <w:uiPriority w:val="0"/>
    <w:rPr>
      <w:rFonts w:ascii="Arial" w:hAnsi="Arial" w:eastAsia="黑体"/>
      <w:b/>
      <w:kern w:val="2"/>
      <w:sz w:val="32"/>
      <w:lang w:val="en-US" w:eastAsia="zh-CN"/>
    </w:rPr>
  </w:style>
  <w:style w:type="character" w:customStyle="1" w:styleId="41">
    <w:name w:val="页脚 Char"/>
    <w:link w:val="16"/>
    <w:autoRedefine/>
    <w:qFormat/>
    <w:locked/>
    <w:uiPriority w:val="99"/>
    <w:rPr>
      <w:kern w:val="2"/>
      <w:sz w:val="18"/>
    </w:rPr>
  </w:style>
  <w:style w:type="character" w:customStyle="1" w:styleId="42">
    <w:name w:val="批注框文本 Char"/>
    <w:link w:val="15"/>
    <w:autoRedefine/>
    <w:semiHidden/>
    <w:qFormat/>
    <w:uiPriority w:val="99"/>
    <w:rPr>
      <w:kern w:val="2"/>
      <w:sz w:val="16"/>
      <w:szCs w:val="0"/>
    </w:rPr>
  </w:style>
  <w:style w:type="character" w:customStyle="1" w:styleId="43">
    <w:name w:val="正文文本 Char"/>
    <w:link w:val="2"/>
    <w:autoRedefine/>
    <w:qFormat/>
    <w:locked/>
    <w:uiPriority w:val="0"/>
    <w:rPr>
      <w:kern w:val="2"/>
      <w:sz w:val="24"/>
    </w:rPr>
  </w:style>
  <w:style w:type="character" w:customStyle="1" w:styleId="44">
    <w:name w:val="标题 2 Char1"/>
    <w:autoRedefine/>
    <w:qFormat/>
    <w:uiPriority w:val="0"/>
    <w:rPr>
      <w:rFonts w:ascii="Arial" w:hAnsi="Arial" w:eastAsia="黑体"/>
      <w:b/>
      <w:kern w:val="2"/>
      <w:sz w:val="32"/>
      <w:lang w:val="en-US" w:eastAsia="zh-CN"/>
    </w:rPr>
  </w:style>
  <w:style w:type="character" w:customStyle="1" w:styleId="45">
    <w:name w:val="批注文字 Char"/>
    <w:link w:val="9"/>
    <w:autoRedefine/>
    <w:semiHidden/>
    <w:qFormat/>
    <w:uiPriority w:val="99"/>
    <w:rPr>
      <w:kern w:val="2"/>
      <w:sz w:val="21"/>
      <w:szCs w:val="24"/>
    </w:rPr>
  </w:style>
  <w:style w:type="character" w:customStyle="1" w:styleId="46">
    <w:name w:val="标题 1 Char"/>
    <w:link w:val="3"/>
    <w:autoRedefine/>
    <w:qFormat/>
    <w:locked/>
    <w:uiPriority w:val="9"/>
    <w:rPr>
      <w:rFonts w:eastAsia="宋体"/>
      <w:b/>
      <w:kern w:val="44"/>
      <w:sz w:val="44"/>
      <w:lang w:val="en-US" w:eastAsia="zh-CN"/>
    </w:rPr>
  </w:style>
  <w:style w:type="character" w:customStyle="1" w:styleId="47">
    <w:name w:val="bold1"/>
    <w:autoRedefine/>
    <w:qFormat/>
    <w:uiPriority w:val="0"/>
    <w:rPr>
      <w:b/>
    </w:rPr>
  </w:style>
  <w:style w:type="character" w:customStyle="1" w:styleId="48">
    <w:name w:val="标题 3 Char"/>
    <w:link w:val="5"/>
    <w:autoRedefine/>
    <w:qFormat/>
    <w:uiPriority w:val="0"/>
    <w:rPr>
      <w:b/>
      <w:bCs/>
      <w:kern w:val="2"/>
      <w:sz w:val="32"/>
      <w:szCs w:val="32"/>
    </w:rPr>
  </w:style>
  <w:style w:type="character" w:customStyle="1" w:styleId="49">
    <w:name w:val="apple-converted-space"/>
    <w:autoRedefine/>
    <w:qFormat/>
    <w:uiPriority w:val="0"/>
    <w:rPr>
      <w:rFonts w:cs="Times New Roman"/>
    </w:rPr>
  </w:style>
  <w:style w:type="character" w:customStyle="1" w:styleId="50">
    <w:name w:val="日期 Char"/>
    <w:link w:val="14"/>
    <w:autoRedefine/>
    <w:qFormat/>
    <w:locked/>
    <w:uiPriority w:val="99"/>
    <w:rPr>
      <w:kern w:val="2"/>
      <w:sz w:val="24"/>
    </w:rPr>
  </w:style>
  <w:style w:type="paragraph" w:customStyle="1" w:styleId="51">
    <w:name w:val="Char Char"/>
    <w:basedOn w:val="1"/>
    <w:autoRedefine/>
    <w:qFormat/>
    <w:uiPriority w:val="0"/>
    <w:pPr>
      <w:widowControl/>
      <w:spacing w:after="160" w:line="240" w:lineRule="exact"/>
      <w:jc w:val="left"/>
    </w:pPr>
  </w:style>
  <w:style w:type="paragraph" w:customStyle="1" w:styleId="52">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 样式 标题 3 + 加粗 + 加粗"/>
    <w:basedOn w:val="1"/>
    <w:autoRedefine/>
    <w:qFormat/>
    <w:uiPriority w:val="0"/>
    <w:pPr>
      <w:tabs>
        <w:tab w:val="left" w:pos="420"/>
      </w:tabs>
      <w:ind w:left="420" w:hanging="420"/>
    </w:pPr>
  </w:style>
  <w:style w:type="paragraph" w:customStyle="1" w:styleId="55">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
    <w:name w:val="列出段落2"/>
    <w:basedOn w:val="1"/>
    <w:autoRedefine/>
    <w:qFormat/>
    <w:uiPriority w:val="0"/>
    <w:pPr>
      <w:ind w:firstLine="420" w:firstLineChars="200"/>
    </w:pPr>
  </w:style>
  <w:style w:type="paragraph" w:customStyle="1" w:styleId="57">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8">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59">
    <w:name w:val="列出段落11"/>
    <w:basedOn w:val="1"/>
    <w:autoRedefine/>
    <w:qFormat/>
    <w:uiPriority w:val="34"/>
    <w:pPr>
      <w:ind w:firstLine="420" w:firstLineChars="200"/>
    </w:pPr>
  </w:style>
  <w:style w:type="paragraph" w:customStyle="1" w:styleId="60">
    <w:name w:val="默认段落字体 Para Char Char Char Char Char Char Char Char Char1 Char"/>
    <w:basedOn w:val="1"/>
    <w:autoRedefine/>
    <w:qFormat/>
    <w:uiPriority w:val="0"/>
    <w:rPr>
      <w:rFonts w:ascii="Tahoma" w:hAnsi="Tahoma"/>
      <w:sz w:val="24"/>
      <w:szCs w:val="20"/>
    </w:rPr>
  </w:style>
  <w:style w:type="character" w:customStyle="1" w:styleId="61">
    <w:name w:val="文档结构图 Char"/>
    <w:basedOn w:val="26"/>
    <w:link w:val="8"/>
    <w:autoRedefine/>
    <w:qFormat/>
    <w:uiPriority w:val="0"/>
    <w:rPr>
      <w:rFonts w:ascii="宋体"/>
      <w:kern w:val="2"/>
      <w:sz w:val="18"/>
      <w:szCs w:val="18"/>
    </w:rPr>
  </w:style>
  <w:style w:type="paragraph" w:customStyle="1" w:styleId="62">
    <w:name w:val="Default"/>
    <w:next w:val="2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其他"/>
    <w:basedOn w:val="1"/>
    <w:autoRedefine/>
    <w:qFormat/>
    <w:uiPriority w:val="0"/>
    <w:pPr>
      <w:shd w:val="clear" w:color="auto" w:fill="FFFFFF"/>
      <w:spacing w:line="406" w:lineRule="auto"/>
    </w:pPr>
    <w:rPr>
      <w:rFonts w:ascii="MingLiU" w:hAnsi="MingLiU" w:eastAsia="MingLiU" w:cs="MingLiU"/>
      <w:sz w:val="22"/>
      <w:szCs w:val="22"/>
      <w:lang w:val="zh-CN" w:eastAsia="zh-CN" w:bidi="zh-CN"/>
    </w:rPr>
  </w:style>
  <w:style w:type="paragraph" w:customStyle="1" w:styleId="64">
    <w:name w:val="表格文字（居左）"/>
    <w:basedOn w:val="1"/>
    <w:autoRedefine/>
    <w:qFormat/>
    <w:uiPriority w:val="0"/>
    <w:pPr>
      <w:spacing w:line="360" w:lineRule="exact"/>
      <w:jc w:val="left"/>
    </w:pPr>
    <w:rPr>
      <w:rFonts w:ascii="Times New Roman" w:hAnsi="Times New Roman" w:eastAsia="仿宋_GB2312" w:cs="Times New Roman"/>
      <w:sz w:val="24"/>
      <w:szCs w:val="24"/>
    </w:rPr>
  </w:style>
  <w:style w:type="paragraph" w:styleId="65">
    <w:name w:val="List Paragraph"/>
    <w:basedOn w:val="1"/>
    <w:autoRedefine/>
    <w:qFormat/>
    <w:uiPriority w:val="0"/>
    <w:pPr>
      <w:ind w:firstLine="420" w:firstLineChars="200"/>
    </w:pPr>
    <w:rPr>
      <w:rFonts w:ascii="Times New Roman" w:hAnsi="Times New Roman" w:eastAsia="宋体" w:cs="Times New Roman"/>
      <w:szCs w:val="22"/>
    </w:rPr>
  </w:style>
  <w:style w:type="character" w:customStyle="1" w:styleId="66">
    <w:name w:val="font61"/>
    <w:basedOn w:val="26"/>
    <w:autoRedefine/>
    <w:qFormat/>
    <w:uiPriority w:val="0"/>
    <w:rPr>
      <w:rFonts w:hint="default" w:ascii="Times New Roman" w:hAnsi="Times New Roman" w:cs="Times New Roman"/>
      <w:color w:val="FF0000"/>
      <w:sz w:val="21"/>
      <w:szCs w:val="21"/>
      <w:u w:val="none"/>
    </w:rPr>
  </w:style>
  <w:style w:type="paragraph" w:customStyle="1" w:styleId="67">
    <w:name w:val="列表段落1"/>
    <w:basedOn w:val="1"/>
    <w:autoRedefine/>
    <w:qFormat/>
    <w:uiPriority w:val="0"/>
    <w:pPr>
      <w:ind w:firstLine="420" w:firstLineChars="200"/>
    </w:pPr>
    <w:rPr>
      <w:rFonts w:ascii="Calibri" w:hAnsi="Calibri"/>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character" w:customStyle="1" w:styleId="69">
    <w:name w:val="font112"/>
    <w:basedOn w:val="26"/>
    <w:autoRedefine/>
    <w:qFormat/>
    <w:uiPriority w:val="0"/>
    <w:rPr>
      <w:rFonts w:hint="eastAsia" w:ascii="宋体" w:hAnsi="宋体" w:eastAsia="宋体" w:cs="宋体"/>
      <w:color w:val="000000"/>
      <w:sz w:val="21"/>
      <w:szCs w:val="21"/>
      <w:u w:val="none"/>
    </w:rPr>
  </w:style>
  <w:style w:type="character" w:customStyle="1" w:styleId="70">
    <w:name w:val="font91"/>
    <w:basedOn w:val="26"/>
    <w:autoRedefine/>
    <w:qFormat/>
    <w:uiPriority w:val="0"/>
    <w:rPr>
      <w:rFonts w:hint="default" w:ascii="Times New Roman" w:hAnsi="Times New Roman" w:cs="Times New Roman"/>
      <w:color w:val="000000"/>
      <w:sz w:val="21"/>
      <w:szCs w:val="21"/>
      <w:u w:val="none"/>
    </w:rPr>
  </w:style>
  <w:style w:type="character" w:customStyle="1" w:styleId="71">
    <w:name w:val="font11"/>
    <w:basedOn w:val="26"/>
    <w:autoRedefine/>
    <w:qFormat/>
    <w:uiPriority w:val="0"/>
    <w:rPr>
      <w:rFonts w:hint="eastAsia" w:ascii="仿宋" w:hAnsi="仿宋" w:eastAsia="仿宋" w:cs="仿宋"/>
      <w:color w:val="000000"/>
      <w:sz w:val="22"/>
      <w:szCs w:val="22"/>
      <w:u w:val="none"/>
    </w:rPr>
  </w:style>
  <w:style w:type="character" w:customStyle="1" w:styleId="72">
    <w:name w:val="font31"/>
    <w:basedOn w:val="26"/>
    <w:autoRedefine/>
    <w:qFormat/>
    <w:uiPriority w:val="0"/>
    <w:rPr>
      <w:rFonts w:hint="eastAsia" w:ascii="仿宋" w:hAnsi="仿宋" w:eastAsia="仿宋" w:cs="仿宋"/>
      <w:color w:val="000000"/>
      <w:sz w:val="24"/>
      <w:szCs w:val="24"/>
      <w:u w:val="none"/>
    </w:rPr>
  </w:style>
  <w:style w:type="character" w:customStyle="1" w:styleId="73">
    <w:name w:val="font51"/>
    <w:basedOn w:val="26"/>
    <w:autoRedefine/>
    <w:qFormat/>
    <w:uiPriority w:val="0"/>
    <w:rPr>
      <w:rFonts w:hint="eastAsia" w:ascii="宋体" w:hAnsi="宋体" w:eastAsia="宋体" w:cs="宋体"/>
      <w:color w:val="000000"/>
      <w:sz w:val="21"/>
      <w:szCs w:val="21"/>
      <w:u w:val="none"/>
    </w:rPr>
  </w:style>
  <w:style w:type="character" w:customStyle="1" w:styleId="74">
    <w:name w:val="font71"/>
    <w:basedOn w:val="2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684</Words>
  <Characters>3903</Characters>
  <Lines>32</Lines>
  <Paragraphs>9</Paragraphs>
  <TotalTime>3</TotalTime>
  <ScaleCrop>false</ScaleCrop>
  <LinksUpToDate>false</LinksUpToDate>
  <CharactersWithSpaces>4578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郭</cp:lastModifiedBy>
  <cp:lastPrinted>2017-07-17T00:55:00Z</cp:lastPrinted>
  <dcterms:modified xsi:type="dcterms:W3CDTF">2024-04-22T09:54:04Z</dcterms:modified>
  <dc:title>南康市环宇招标代理有限公司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909DA2D81F574251B706960BA73C9DD0_13</vt:lpwstr>
  </property>
</Properties>
</file>