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90A53">
      <w:pPr>
        <w:widowControl/>
        <w:spacing w:beforeAutospacing="1" w:afterAutospacing="1" w:line="360" w:lineRule="auto"/>
        <w:rPr>
          <w:rFonts w:ascii="宋体" w:hAnsi="宋体" w:cs="宋体"/>
          <w:bCs/>
          <w:kern w:val="0"/>
          <w:sz w:val="36"/>
          <w:szCs w:val="36"/>
        </w:rPr>
      </w:pPr>
      <w:r>
        <w:rPr>
          <w:rFonts w:hint="eastAsia" w:ascii="宋体" w:hAnsi="宋体" w:cs="宋体"/>
          <w:bCs/>
          <w:kern w:val="0"/>
          <w:sz w:val="36"/>
          <w:szCs w:val="36"/>
        </w:rPr>
        <w:t xml:space="preserve"> 附件1</w:t>
      </w:r>
    </w:p>
    <w:p w14:paraId="3A6B5710">
      <w:pPr>
        <w:widowControl/>
        <w:spacing w:beforeAutospacing="1" w:afterAutospacing="1" w:line="360" w:lineRule="auto"/>
        <w:rPr>
          <w:rFonts w:hint="default" w:ascii="宋体" w:hAnsi="宋体" w:eastAsia="宋体" w:cs="宋体"/>
          <w:kern w:val="0"/>
          <w:sz w:val="36"/>
          <w:szCs w:val="36"/>
          <w:lang w:val="en-US" w:eastAsia="zh-CN"/>
        </w:rPr>
      </w:pPr>
      <w:r>
        <w:rPr>
          <w:rFonts w:hint="eastAsia" w:ascii="宋体" w:hAnsi="宋体" w:cs="宋体"/>
          <w:bCs/>
          <w:kern w:val="0"/>
          <w:sz w:val="36"/>
          <w:szCs w:val="36"/>
        </w:rPr>
        <w:t xml:space="preserve">                                         </w:t>
      </w:r>
      <w:r>
        <w:rPr>
          <w:rFonts w:hint="eastAsia" w:ascii="宋体" w:hAnsi="宋体" w:cs="宋体"/>
          <w:bCs/>
          <w:kern w:val="0"/>
          <w:sz w:val="36"/>
          <w:szCs w:val="36"/>
          <w:lang w:val="en-US" w:eastAsia="zh-CN"/>
        </w:rPr>
        <w:t xml:space="preserve">  </w:t>
      </w:r>
      <w:r>
        <w:rPr>
          <w:rFonts w:hint="eastAsia" w:ascii="宋体" w:hAnsi="宋体" w:cs="宋体"/>
          <w:bCs/>
          <w:kern w:val="0"/>
          <w:sz w:val="36"/>
          <w:szCs w:val="36"/>
        </w:rPr>
        <w:t>正（副）本</w:t>
      </w:r>
    </w:p>
    <w:p w14:paraId="46248E32">
      <w:pPr>
        <w:widowControl/>
        <w:spacing w:beforeAutospacing="1" w:afterAutospacing="1" w:line="360" w:lineRule="auto"/>
        <w:ind w:firstLine="540" w:firstLineChars="150"/>
        <w:rPr>
          <w:rFonts w:ascii="宋体" w:hAnsi="宋体" w:cs="宋体"/>
          <w:kern w:val="0"/>
          <w:sz w:val="36"/>
          <w:szCs w:val="36"/>
        </w:rPr>
      </w:pPr>
      <w:r>
        <w:rPr>
          <w:rFonts w:hint="eastAsia" w:ascii="宋体" w:hAnsi="宋体" w:cs="宋体"/>
          <w:bCs/>
          <w:kern w:val="0"/>
          <w:sz w:val="36"/>
          <w:szCs w:val="36"/>
        </w:rPr>
        <w:t xml:space="preserve">致：赣州市妇幼保健院 </w:t>
      </w:r>
    </w:p>
    <w:p w14:paraId="4B88334B">
      <w:pPr>
        <w:jc w:val="center"/>
        <w:rPr>
          <w:b/>
          <w:sz w:val="52"/>
          <w:szCs w:val="52"/>
        </w:rPr>
      </w:pPr>
      <w:bookmarkStart w:id="0" w:name="_Toc485736229"/>
      <w:r>
        <w:rPr>
          <w:rFonts w:hint="eastAsia"/>
          <w:b/>
          <w:sz w:val="52"/>
          <w:szCs w:val="52"/>
        </w:rPr>
        <w:t>项</w:t>
      </w:r>
    </w:p>
    <w:p w14:paraId="463E4833">
      <w:pPr>
        <w:jc w:val="center"/>
        <w:rPr>
          <w:b/>
          <w:sz w:val="52"/>
          <w:szCs w:val="52"/>
        </w:rPr>
      </w:pPr>
    </w:p>
    <w:p w14:paraId="15D4DC82">
      <w:pPr>
        <w:jc w:val="center"/>
        <w:rPr>
          <w:b/>
          <w:sz w:val="52"/>
          <w:szCs w:val="52"/>
        </w:rPr>
      </w:pPr>
      <w:r>
        <w:rPr>
          <w:rFonts w:hint="eastAsia"/>
          <w:b/>
          <w:sz w:val="52"/>
          <w:szCs w:val="52"/>
        </w:rPr>
        <w:t>目</w:t>
      </w:r>
    </w:p>
    <w:p w14:paraId="1287529D">
      <w:pPr>
        <w:jc w:val="center"/>
        <w:rPr>
          <w:b/>
          <w:sz w:val="52"/>
          <w:szCs w:val="52"/>
        </w:rPr>
      </w:pPr>
    </w:p>
    <w:p w14:paraId="18E3E7FC">
      <w:pPr>
        <w:jc w:val="center"/>
        <w:rPr>
          <w:b/>
          <w:sz w:val="52"/>
          <w:szCs w:val="52"/>
        </w:rPr>
      </w:pPr>
      <w:r>
        <w:rPr>
          <w:rFonts w:hint="eastAsia"/>
          <w:b/>
          <w:sz w:val="52"/>
          <w:szCs w:val="52"/>
        </w:rPr>
        <w:t>咨</w:t>
      </w:r>
    </w:p>
    <w:p w14:paraId="4BD2DF6A">
      <w:pPr>
        <w:jc w:val="center"/>
        <w:rPr>
          <w:b/>
          <w:sz w:val="52"/>
          <w:szCs w:val="52"/>
        </w:rPr>
      </w:pPr>
    </w:p>
    <w:p w14:paraId="748BD394">
      <w:pPr>
        <w:jc w:val="center"/>
        <w:rPr>
          <w:b/>
          <w:sz w:val="52"/>
          <w:szCs w:val="52"/>
        </w:rPr>
      </w:pPr>
      <w:r>
        <w:rPr>
          <w:rFonts w:hint="eastAsia"/>
          <w:b/>
          <w:sz w:val="52"/>
          <w:szCs w:val="52"/>
        </w:rPr>
        <w:t>询</w:t>
      </w:r>
    </w:p>
    <w:p w14:paraId="46353F0A">
      <w:pPr>
        <w:jc w:val="center"/>
        <w:rPr>
          <w:b/>
          <w:sz w:val="52"/>
          <w:szCs w:val="52"/>
        </w:rPr>
      </w:pPr>
    </w:p>
    <w:p w14:paraId="69406162">
      <w:pPr>
        <w:jc w:val="center"/>
        <w:rPr>
          <w:b/>
          <w:sz w:val="52"/>
          <w:szCs w:val="52"/>
        </w:rPr>
      </w:pPr>
      <w:r>
        <w:rPr>
          <w:rFonts w:hint="eastAsia"/>
          <w:b/>
          <w:sz w:val="52"/>
          <w:szCs w:val="52"/>
        </w:rPr>
        <w:t>文</w:t>
      </w:r>
    </w:p>
    <w:p w14:paraId="12A49F4E">
      <w:pPr>
        <w:jc w:val="center"/>
        <w:rPr>
          <w:b/>
          <w:sz w:val="52"/>
          <w:szCs w:val="52"/>
        </w:rPr>
      </w:pPr>
    </w:p>
    <w:p w14:paraId="34D02259">
      <w:pPr>
        <w:jc w:val="center"/>
        <w:rPr>
          <w:b/>
          <w:sz w:val="52"/>
          <w:szCs w:val="52"/>
        </w:rPr>
      </w:pPr>
      <w:r>
        <w:rPr>
          <w:rFonts w:hint="eastAsia"/>
          <w:b/>
          <w:sz w:val="52"/>
          <w:szCs w:val="52"/>
        </w:rPr>
        <w:t>件</w:t>
      </w:r>
      <w:bookmarkEnd w:id="0"/>
    </w:p>
    <w:p w14:paraId="449C6FD9">
      <w:pPr>
        <w:widowControl/>
        <w:spacing w:beforeAutospacing="1" w:afterAutospacing="1" w:line="360" w:lineRule="auto"/>
        <w:jc w:val="left"/>
        <w:rPr>
          <w:rFonts w:ascii="宋体" w:hAnsi="宋体" w:cs="宋体"/>
          <w:kern w:val="0"/>
          <w:sz w:val="24"/>
        </w:rPr>
      </w:pPr>
      <w:r>
        <w:rPr>
          <w:rFonts w:ascii="宋体" w:hAnsi="宋体" w:cs="宋体"/>
          <w:kern w:val="0"/>
          <w:sz w:val="24"/>
        </w:rPr>
        <w:t> </w:t>
      </w:r>
    </w:p>
    <w:p w14:paraId="6BDE01B7">
      <w:pPr>
        <w:widowControl/>
        <w:spacing w:beforeAutospacing="1" w:afterAutospacing="1" w:line="360" w:lineRule="auto"/>
        <w:ind w:firstLine="630" w:firstLineChars="196"/>
        <w:jc w:val="left"/>
        <w:rPr>
          <w:rFonts w:hint="eastAsia" w:ascii="宋体" w:hAnsi="宋体" w:eastAsia="宋体" w:cs="宋体"/>
          <w:b/>
          <w:kern w:val="0"/>
          <w:sz w:val="32"/>
          <w:szCs w:val="36"/>
          <w:lang w:val="en-US" w:eastAsia="zh-CN"/>
        </w:rPr>
      </w:pPr>
      <w:r>
        <w:rPr>
          <w:rFonts w:hint="eastAsia" w:ascii="宋体" w:hAnsi="宋体" w:cs="宋体"/>
          <w:b/>
          <w:kern w:val="0"/>
          <w:sz w:val="32"/>
          <w:szCs w:val="36"/>
        </w:rPr>
        <w:t>项目名称：</w:t>
      </w:r>
      <w:r>
        <w:rPr>
          <w:rFonts w:hint="eastAsia" w:ascii="宋体" w:hAnsi="宋体"/>
          <w:b/>
          <w:sz w:val="32"/>
          <w:szCs w:val="44"/>
        </w:rPr>
        <w:t>网络安全运维服务</w:t>
      </w:r>
      <w:r>
        <w:rPr>
          <w:rFonts w:hint="eastAsia" w:ascii="宋体" w:hAnsi="宋体"/>
          <w:b/>
          <w:sz w:val="32"/>
          <w:szCs w:val="44"/>
          <w:lang w:val="en-US" w:eastAsia="zh-CN"/>
        </w:rPr>
        <w:t>项目</w:t>
      </w:r>
    </w:p>
    <w:p w14:paraId="41EC127B">
      <w:pPr>
        <w:widowControl/>
        <w:spacing w:beforeAutospacing="1" w:afterAutospacing="1" w:line="360" w:lineRule="auto"/>
        <w:ind w:firstLine="630" w:firstLineChars="196"/>
        <w:jc w:val="left"/>
        <w:rPr>
          <w:rFonts w:ascii="宋体" w:hAnsi="宋体" w:cs="宋体"/>
          <w:b/>
          <w:kern w:val="0"/>
          <w:sz w:val="32"/>
          <w:szCs w:val="36"/>
        </w:rPr>
      </w:pPr>
      <w:r>
        <w:rPr>
          <w:rFonts w:hint="eastAsia" w:ascii="宋体" w:hAnsi="宋体" w:cs="宋体"/>
          <w:b/>
          <w:kern w:val="0"/>
          <w:sz w:val="32"/>
          <w:szCs w:val="36"/>
        </w:rPr>
        <w:t>响应供应商名称：</w:t>
      </w:r>
    </w:p>
    <w:p w14:paraId="6407DBA3">
      <w:pPr>
        <w:widowControl/>
        <w:spacing w:beforeAutospacing="1" w:afterAutospacing="1" w:line="360" w:lineRule="auto"/>
        <w:ind w:firstLine="630" w:firstLineChars="196"/>
        <w:jc w:val="left"/>
        <w:rPr>
          <w:rFonts w:ascii="宋体" w:hAnsi="宋体" w:cs="宋体"/>
          <w:b/>
          <w:kern w:val="0"/>
          <w:sz w:val="32"/>
          <w:szCs w:val="36"/>
        </w:rPr>
      </w:pPr>
      <w:r>
        <w:rPr>
          <w:rFonts w:hint="eastAsia" w:ascii="宋体" w:hAnsi="宋体" w:cs="宋体"/>
          <w:b/>
          <w:kern w:val="0"/>
          <w:sz w:val="32"/>
          <w:szCs w:val="36"/>
        </w:rPr>
        <w:t>日期：     年  月  日</w:t>
      </w:r>
      <w:bookmarkStart w:id="10" w:name="_GoBack"/>
      <w:bookmarkEnd w:id="10"/>
    </w:p>
    <w:p w14:paraId="4933077F">
      <w:pPr>
        <w:pStyle w:val="3"/>
        <w:ind w:firstLine="0"/>
        <w:rPr>
          <w:rFonts w:ascii="宋体" w:hAnsi="宋体" w:eastAsia="宋体"/>
          <w:kern w:val="0"/>
        </w:rPr>
      </w:pPr>
      <w:bookmarkStart w:id="1" w:name="_Toc485736230"/>
      <w:r>
        <w:rPr>
          <w:rFonts w:hint="eastAsia" w:ascii="宋体" w:hAnsi="宋体" w:eastAsia="宋体"/>
          <w:kern w:val="0"/>
        </w:rPr>
        <w:t>一、系统咨询响应函</w:t>
      </w:r>
      <w:bookmarkEnd w:id="1"/>
    </w:p>
    <w:p w14:paraId="295D9D4D">
      <w:pPr>
        <w:spacing w:line="360" w:lineRule="auto"/>
        <w:ind w:firstLine="405" w:firstLineChars="150"/>
        <w:rPr>
          <w:rFonts w:ascii="宋体" w:hAnsi="宋体" w:cs="宋体"/>
          <w:kern w:val="0"/>
          <w:sz w:val="27"/>
          <w:szCs w:val="27"/>
        </w:rPr>
      </w:pPr>
      <w:r>
        <w:rPr>
          <w:rFonts w:hint="eastAsia" w:ascii="宋体" w:hAnsi="宋体" w:cs="宋体"/>
          <w:kern w:val="0"/>
          <w:sz w:val="27"/>
          <w:szCs w:val="27"/>
        </w:rPr>
        <w:t>致：赣州市妇幼保健院</w:t>
      </w:r>
    </w:p>
    <w:p w14:paraId="05981C98">
      <w:pPr>
        <w:spacing w:line="360" w:lineRule="auto"/>
        <w:ind w:left="269" w:leftChars="128" w:firstLine="135" w:firstLineChars="50"/>
        <w:rPr>
          <w:rFonts w:ascii="宋体" w:hAnsi="宋体" w:cs="宋体"/>
          <w:kern w:val="0"/>
          <w:sz w:val="27"/>
          <w:szCs w:val="27"/>
        </w:rPr>
      </w:pPr>
      <w:r>
        <w:rPr>
          <w:rFonts w:hint="eastAsia" w:ascii="宋体" w:hAnsi="宋体" w:cs="宋体"/>
          <w:kern w:val="0"/>
          <w:sz w:val="27"/>
          <w:szCs w:val="27"/>
          <w:u w:val="single"/>
        </w:rPr>
        <w:t xml:space="preserve">                          </w:t>
      </w:r>
      <w:r>
        <w:rPr>
          <w:rFonts w:hint="eastAsia" w:ascii="宋体" w:hAnsi="宋体" w:cs="宋体"/>
          <w:kern w:val="0"/>
          <w:sz w:val="27"/>
          <w:szCs w:val="27"/>
        </w:rPr>
        <w:t>（响应供应商名称）系中华人民共和国合</w:t>
      </w:r>
    </w:p>
    <w:p w14:paraId="6A026EEA">
      <w:pPr>
        <w:spacing w:line="360" w:lineRule="auto"/>
        <w:ind w:left="269" w:leftChars="128" w:firstLine="135" w:firstLineChars="50"/>
        <w:rPr>
          <w:rFonts w:ascii="宋体" w:hAnsi="宋体" w:cs="宋体"/>
          <w:kern w:val="0"/>
          <w:sz w:val="27"/>
          <w:szCs w:val="27"/>
        </w:rPr>
      </w:pPr>
      <w:r>
        <w:rPr>
          <w:rFonts w:hint="eastAsia" w:ascii="宋体" w:hAnsi="宋体" w:cs="宋体"/>
          <w:kern w:val="0"/>
          <w:sz w:val="27"/>
          <w:szCs w:val="27"/>
        </w:rPr>
        <w:t>法企业，我方就参加本次投标有关事项郑重声明如下：</w:t>
      </w:r>
    </w:p>
    <w:p w14:paraId="6B509516">
      <w:pPr>
        <w:spacing w:line="360" w:lineRule="auto"/>
        <w:ind w:firstLine="405" w:firstLineChars="150"/>
        <w:rPr>
          <w:rFonts w:ascii="宋体" w:hAnsi="宋体" w:cs="宋体"/>
          <w:kern w:val="0"/>
          <w:sz w:val="27"/>
          <w:szCs w:val="27"/>
        </w:rPr>
      </w:pPr>
      <w:r>
        <w:rPr>
          <w:rFonts w:hint="eastAsia" w:ascii="宋体" w:hAnsi="宋体" w:cs="宋体"/>
          <w:kern w:val="0"/>
          <w:sz w:val="27"/>
          <w:szCs w:val="27"/>
        </w:rPr>
        <w:t>一、我方完全理解并接受系统咨询公告所有要求。</w:t>
      </w:r>
    </w:p>
    <w:p w14:paraId="08603EA0">
      <w:pPr>
        <w:spacing w:line="360" w:lineRule="auto"/>
        <w:ind w:left="403" w:leftChars="192"/>
        <w:rPr>
          <w:rFonts w:ascii="宋体" w:hAnsi="宋体" w:cs="宋体"/>
          <w:kern w:val="0"/>
          <w:sz w:val="27"/>
          <w:szCs w:val="27"/>
        </w:rPr>
      </w:pPr>
      <w:r>
        <w:rPr>
          <w:rFonts w:hint="eastAsia" w:ascii="宋体" w:hAnsi="宋体" w:cs="宋体"/>
          <w:kern w:val="0"/>
          <w:sz w:val="27"/>
          <w:szCs w:val="27"/>
        </w:rPr>
        <w:t>二、我方提交的所有响应文件、资料都是准确和真实的，如有虚假或隐</w:t>
      </w:r>
    </w:p>
    <w:p w14:paraId="109B8456">
      <w:pPr>
        <w:spacing w:line="360" w:lineRule="auto"/>
        <w:ind w:left="403" w:leftChars="192"/>
        <w:rPr>
          <w:rFonts w:ascii="宋体" w:hAnsi="宋体" w:cs="宋体"/>
          <w:kern w:val="0"/>
          <w:sz w:val="27"/>
          <w:szCs w:val="27"/>
        </w:rPr>
      </w:pPr>
      <w:r>
        <w:rPr>
          <w:rFonts w:hint="eastAsia" w:ascii="宋体" w:hAnsi="宋体" w:cs="宋体"/>
          <w:kern w:val="0"/>
          <w:sz w:val="27"/>
          <w:szCs w:val="27"/>
        </w:rPr>
        <w:t>瞒，我方愿意承担一切法律责任。</w:t>
      </w:r>
    </w:p>
    <w:p w14:paraId="4D9C2CA8">
      <w:pPr>
        <w:spacing w:line="360" w:lineRule="auto"/>
        <w:ind w:left="403" w:leftChars="192"/>
        <w:rPr>
          <w:rFonts w:ascii="宋体" w:hAnsi="宋体" w:cs="宋体"/>
          <w:kern w:val="0"/>
          <w:sz w:val="27"/>
          <w:szCs w:val="27"/>
        </w:rPr>
      </w:pPr>
      <w:r>
        <w:rPr>
          <w:rFonts w:hint="eastAsia" w:ascii="宋体" w:hAnsi="宋体" w:cs="宋体"/>
          <w:kern w:val="0"/>
          <w:sz w:val="27"/>
          <w:szCs w:val="27"/>
        </w:rPr>
        <w:t>三、我方承诺，以后的项目采购不高于此次系统咨询结果，系统性能参数、</w:t>
      </w:r>
    </w:p>
    <w:p w14:paraId="04BBC174">
      <w:pPr>
        <w:spacing w:line="360" w:lineRule="auto"/>
        <w:ind w:left="403" w:leftChars="192"/>
        <w:rPr>
          <w:rFonts w:ascii="宋体" w:hAnsi="宋体" w:cs="宋体"/>
          <w:kern w:val="0"/>
          <w:sz w:val="27"/>
          <w:szCs w:val="27"/>
        </w:rPr>
      </w:pPr>
      <w:r>
        <w:rPr>
          <w:rFonts w:hint="eastAsia" w:ascii="宋体" w:hAnsi="宋体" w:cs="宋体"/>
          <w:kern w:val="0"/>
          <w:sz w:val="27"/>
          <w:szCs w:val="27"/>
        </w:rPr>
        <w:t>配置、维保不低于此次项目咨询结果。</w:t>
      </w:r>
    </w:p>
    <w:p w14:paraId="25826B37">
      <w:pPr>
        <w:spacing w:line="360" w:lineRule="auto"/>
        <w:ind w:firstLine="405" w:firstLineChars="150"/>
        <w:rPr>
          <w:rFonts w:ascii="宋体" w:hAnsi="宋体" w:cs="宋体"/>
          <w:kern w:val="0"/>
          <w:sz w:val="27"/>
          <w:szCs w:val="27"/>
        </w:rPr>
      </w:pPr>
      <w:r>
        <w:rPr>
          <w:rFonts w:hint="eastAsia" w:ascii="宋体" w:hAnsi="宋体" w:cs="宋体"/>
          <w:kern w:val="0"/>
          <w:sz w:val="27"/>
          <w:szCs w:val="27"/>
        </w:rPr>
        <w:t>四、与此次项目咨询相关一切正式往来信函请寄：</w:t>
      </w:r>
    </w:p>
    <w:p w14:paraId="653FF523">
      <w:pPr>
        <w:spacing w:line="360" w:lineRule="auto"/>
        <w:ind w:firstLine="405" w:firstLineChars="150"/>
        <w:rPr>
          <w:rFonts w:ascii="宋体" w:hAnsi="宋体" w:cs="宋体"/>
          <w:kern w:val="0"/>
          <w:sz w:val="27"/>
          <w:szCs w:val="27"/>
        </w:rPr>
      </w:pPr>
      <w:r>
        <w:rPr>
          <w:rFonts w:hint="eastAsia" w:ascii="宋体" w:hAnsi="宋体" w:cs="宋体"/>
          <w:kern w:val="0"/>
          <w:sz w:val="27"/>
          <w:szCs w:val="27"/>
        </w:rPr>
        <w:t>地址 ：                          传真：</w:t>
      </w:r>
    </w:p>
    <w:p w14:paraId="1D27114A">
      <w:pPr>
        <w:spacing w:line="360" w:lineRule="auto"/>
        <w:ind w:firstLine="405" w:firstLineChars="150"/>
        <w:rPr>
          <w:rFonts w:ascii="宋体" w:hAnsi="宋体" w:cs="宋体"/>
          <w:kern w:val="0"/>
          <w:sz w:val="27"/>
          <w:szCs w:val="27"/>
        </w:rPr>
      </w:pPr>
      <w:r>
        <w:rPr>
          <w:rFonts w:hint="eastAsia" w:ascii="宋体" w:hAnsi="宋体" w:cs="宋体"/>
          <w:kern w:val="0"/>
          <w:sz w:val="27"/>
          <w:szCs w:val="27"/>
        </w:rPr>
        <w:t>电话 ：                          电子邮件：</w:t>
      </w:r>
    </w:p>
    <w:p w14:paraId="3779AF6D">
      <w:pPr>
        <w:spacing w:line="360" w:lineRule="auto"/>
        <w:ind w:firstLine="2295" w:firstLineChars="850"/>
        <w:rPr>
          <w:rFonts w:ascii="宋体" w:hAnsi="宋体" w:cs="宋体"/>
          <w:kern w:val="0"/>
          <w:sz w:val="27"/>
          <w:szCs w:val="27"/>
        </w:rPr>
      </w:pPr>
    </w:p>
    <w:p w14:paraId="7083A05A">
      <w:pPr>
        <w:spacing w:line="360" w:lineRule="auto"/>
        <w:ind w:firstLine="3375" w:firstLineChars="1250"/>
        <w:rPr>
          <w:rFonts w:ascii="宋体" w:hAnsi="宋体" w:cs="宋体"/>
          <w:kern w:val="0"/>
          <w:sz w:val="27"/>
          <w:szCs w:val="27"/>
        </w:rPr>
      </w:pPr>
    </w:p>
    <w:p w14:paraId="10D2D1B7">
      <w:pPr>
        <w:spacing w:line="360" w:lineRule="auto"/>
        <w:ind w:firstLine="2565" w:firstLineChars="950"/>
        <w:rPr>
          <w:rFonts w:ascii="宋体" w:hAnsi="宋体" w:cs="宋体"/>
          <w:kern w:val="0"/>
          <w:sz w:val="27"/>
          <w:szCs w:val="27"/>
        </w:rPr>
      </w:pPr>
      <w:r>
        <w:rPr>
          <w:rFonts w:hint="eastAsia" w:ascii="宋体" w:hAnsi="宋体" w:cs="宋体"/>
          <w:kern w:val="0"/>
          <w:sz w:val="27"/>
          <w:szCs w:val="27"/>
        </w:rPr>
        <w:t>法定代表人或被授权人（签字）：</w:t>
      </w:r>
      <w:r>
        <w:rPr>
          <w:rFonts w:ascii="宋体" w:hAnsi="宋体" w:cs="宋体"/>
          <w:kern w:val="0"/>
          <w:sz w:val="27"/>
          <w:szCs w:val="27"/>
        </w:rPr>
        <w:t>________________</w:t>
      </w:r>
    </w:p>
    <w:p w14:paraId="7D0AFE0F">
      <w:pPr>
        <w:spacing w:line="360" w:lineRule="auto"/>
        <w:ind w:firstLine="4725" w:firstLineChars="1750"/>
        <w:rPr>
          <w:rFonts w:ascii="宋体" w:hAnsi="宋体" w:cs="宋体"/>
          <w:kern w:val="0"/>
          <w:sz w:val="27"/>
          <w:szCs w:val="27"/>
        </w:rPr>
      </w:pPr>
    </w:p>
    <w:p w14:paraId="10BCA36C">
      <w:pPr>
        <w:spacing w:line="360" w:lineRule="auto"/>
        <w:ind w:firstLine="4725" w:firstLineChars="1750"/>
        <w:rPr>
          <w:rFonts w:ascii="宋体" w:hAnsi="宋体" w:cs="宋体"/>
          <w:kern w:val="0"/>
          <w:sz w:val="27"/>
          <w:szCs w:val="27"/>
        </w:rPr>
      </w:pPr>
      <w:r>
        <w:rPr>
          <w:rFonts w:hint="eastAsia" w:ascii="宋体" w:hAnsi="宋体" w:cs="宋体"/>
          <w:kern w:val="0"/>
          <w:sz w:val="27"/>
          <w:szCs w:val="27"/>
        </w:rPr>
        <w:t xml:space="preserve">响应供应商名称（公章）  </w:t>
      </w:r>
    </w:p>
    <w:p w14:paraId="1C38D07A">
      <w:pPr>
        <w:spacing w:line="360" w:lineRule="auto"/>
        <w:ind w:firstLine="4725" w:firstLineChars="1750"/>
        <w:rPr>
          <w:rFonts w:ascii="宋体" w:hAnsi="宋体" w:cs="宋体"/>
          <w:kern w:val="0"/>
          <w:sz w:val="27"/>
          <w:szCs w:val="27"/>
        </w:rPr>
      </w:pPr>
      <w:r>
        <w:rPr>
          <w:rFonts w:hint="eastAsia" w:ascii="宋体" w:hAnsi="宋体" w:cs="宋体"/>
          <w:kern w:val="0"/>
          <w:sz w:val="27"/>
          <w:szCs w:val="27"/>
        </w:rPr>
        <w:t xml:space="preserve">       </w:t>
      </w:r>
    </w:p>
    <w:p w14:paraId="06D04353">
      <w:pPr>
        <w:spacing w:line="360" w:lineRule="auto"/>
        <w:ind w:firstLine="4860" w:firstLineChars="1800"/>
        <w:rPr>
          <w:rFonts w:ascii="宋体" w:hAnsi="宋体" w:cs="宋体"/>
          <w:kern w:val="0"/>
          <w:sz w:val="27"/>
          <w:szCs w:val="27"/>
        </w:rPr>
      </w:pPr>
      <w:r>
        <w:rPr>
          <w:rFonts w:hint="eastAsia" w:ascii="宋体" w:hAnsi="宋体" w:cs="宋体"/>
          <w:kern w:val="0"/>
          <w:sz w:val="27"/>
          <w:szCs w:val="27"/>
        </w:rPr>
        <w:t xml:space="preserve">   年    月    日</w:t>
      </w:r>
    </w:p>
    <w:p w14:paraId="689C2B4D">
      <w:pPr>
        <w:spacing w:line="360" w:lineRule="auto"/>
        <w:ind w:firstLine="135" w:firstLineChars="50"/>
        <w:rPr>
          <w:rFonts w:ascii="宋体" w:hAnsi="宋体" w:cs="宋体"/>
          <w:kern w:val="0"/>
          <w:sz w:val="27"/>
          <w:szCs w:val="27"/>
        </w:rPr>
      </w:pPr>
    </w:p>
    <w:p w14:paraId="521B362D">
      <w:pPr>
        <w:spacing w:line="360" w:lineRule="auto"/>
        <w:ind w:firstLine="135" w:firstLineChars="50"/>
        <w:rPr>
          <w:rFonts w:ascii="宋体" w:hAnsi="宋体" w:cs="宋体"/>
          <w:kern w:val="0"/>
          <w:sz w:val="27"/>
          <w:szCs w:val="27"/>
        </w:rPr>
      </w:pPr>
    </w:p>
    <w:p w14:paraId="6732D497">
      <w:pPr>
        <w:spacing w:line="360" w:lineRule="auto"/>
        <w:ind w:firstLine="135" w:firstLineChars="50"/>
        <w:rPr>
          <w:rFonts w:ascii="宋体" w:hAnsi="宋体" w:cs="宋体"/>
          <w:kern w:val="0"/>
          <w:sz w:val="27"/>
          <w:szCs w:val="27"/>
        </w:rPr>
      </w:pPr>
    </w:p>
    <w:p w14:paraId="7D93F069">
      <w:pPr>
        <w:widowControl/>
        <w:spacing w:beforeAutospacing="1" w:afterAutospacing="1" w:line="360" w:lineRule="auto"/>
        <w:jc w:val="left"/>
        <w:rPr>
          <w:rFonts w:ascii="宋体" w:hAnsi="宋体" w:cs="宋体"/>
          <w:kern w:val="0"/>
          <w:sz w:val="24"/>
        </w:rPr>
        <w:sectPr>
          <w:footerReference r:id="rId6" w:type="first"/>
          <w:headerReference r:id="rId3" w:type="default"/>
          <w:footerReference r:id="rId4" w:type="default"/>
          <w:footerReference r:id="rId5" w:type="even"/>
          <w:type w:val="continuous"/>
          <w:pgSz w:w="11906" w:h="16838"/>
          <w:pgMar w:top="1191" w:right="1191" w:bottom="1191" w:left="1191" w:header="851" w:footer="992" w:gutter="0"/>
          <w:cols w:space="720" w:num="1"/>
          <w:titlePg/>
          <w:docGrid w:linePitch="312" w:charSpace="0"/>
        </w:sectPr>
      </w:pPr>
    </w:p>
    <w:p w14:paraId="412B6765">
      <w:pPr>
        <w:pStyle w:val="3"/>
        <w:ind w:firstLine="0"/>
        <w:rPr>
          <w:rFonts w:ascii="宋体" w:hAnsi="宋体" w:eastAsia="宋体"/>
          <w:kern w:val="0"/>
        </w:rPr>
      </w:pPr>
      <w:bookmarkStart w:id="2" w:name="_Toc485736233"/>
      <w:bookmarkStart w:id="3" w:name="_Toc480191544"/>
      <w:bookmarkStart w:id="4" w:name="_Toc265316642"/>
      <w:r>
        <w:rPr>
          <w:rFonts w:hint="eastAsia" w:ascii="宋体" w:hAnsi="宋体" w:eastAsia="宋体"/>
          <w:kern w:val="0"/>
        </w:rPr>
        <w:t>二、服务项目、服务描述、价格</w:t>
      </w:r>
    </w:p>
    <w:p w14:paraId="48024EE6">
      <w:pPr>
        <w:ind w:firstLine="439" w:firstLineChars="157"/>
        <w:rPr>
          <w:rFonts w:ascii="宋体" w:hAnsi="宋体"/>
          <w:bCs/>
          <w:sz w:val="28"/>
          <w:szCs w:val="28"/>
        </w:rPr>
      </w:pPr>
      <w:r>
        <w:rPr>
          <w:rFonts w:hint="eastAsia" w:ascii="宋体" w:hAnsi="宋体"/>
          <w:sz w:val="28"/>
          <w:szCs w:val="28"/>
        </w:rPr>
        <w:t>1、</w:t>
      </w:r>
      <w:r>
        <w:rPr>
          <w:rFonts w:hint="eastAsia" w:ascii="宋体" w:hAnsi="宋体"/>
          <w:bCs/>
          <w:sz w:val="28"/>
          <w:szCs w:val="28"/>
        </w:rPr>
        <w:t>服务期间，响应供应商需按照医院要求完成各项安全检查工作，协助医院建立完善各项信息安全管理制度。</w:t>
      </w:r>
    </w:p>
    <w:p w14:paraId="287B182B">
      <w:pPr>
        <w:ind w:firstLine="439" w:firstLineChars="157"/>
        <w:rPr>
          <w:rFonts w:ascii="宋体" w:hAnsi="宋体"/>
          <w:b/>
          <w:sz w:val="28"/>
          <w:szCs w:val="28"/>
        </w:rPr>
      </w:pPr>
      <w:r>
        <w:rPr>
          <w:rFonts w:ascii="宋体" w:hAnsi="宋体"/>
          <w:bCs/>
          <w:sz w:val="28"/>
          <w:szCs w:val="28"/>
        </w:rPr>
        <w:t>2</w:t>
      </w:r>
      <w:r>
        <w:rPr>
          <w:rFonts w:hint="eastAsia" w:ascii="宋体" w:hAnsi="宋体"/>
          <w:bCs/>
          <w:sz w:val="28"/>
          <w:szCs w:val="28"/>
        </w:rPr>
        <w:t>、</w:t>
      </w:r>
      <w:r>
        <w:rPr>
          <w:rFonts w:hint="eastAsia" w:asciiTheme="minorEastAsia" w:hAnsiTheme="minorEastAsia"/>
          <w:sz w:val="28"/>
          <w:szCs w:val="28"/>
        </w:rPr>
        <w:t>为加强本院业务系统云上及云下安全统筹运营能力，拉通云上安全防护能力与本地安全防护能力的统一管理，统一协调，加强云上应用及本地应用的网络访问控制精细度，缩小风险暴露面，降低安全风险，需监测所有云上与本地的网络威胁攻击事件，进行分析与溯源确保安全事件的及时发现与处置，保障云上数据中心与本地数据中心的安全统筹，定期输出完整安全运营报告。</w:t>
      </w:r>
    </w:p>
    <w:p w14:paraId="5417F093">
      <w:pPr>
        <w:ind w:firstLine="439" w:firstLineChars="157"/>
        <w:rPr>
          <w:rFonts w:ascii="宋体" w:hAnsi="宋体"/>
          <w:bCs/>
          <w:sz w:val="28"/>
          <w:szCs w:val="28"/>
        </w:rPr>
      </w:pPr>
      <w:r>
        <w:rPr>
          <w:rFonts w:ascii="宋体" w:hAnsi="宋体"/>
          <w:bCs/>
          <w:sz w:val="28"/>
          <w:szCs w:val="28"/>
        </w:rPr>
        <w:t>3</w:t>
      </w:r>
      <w:r>
        <w:rPr>
          <w:rFonts w:hint="eastAsia" w:ascii="宋体" w:hAnsi="宋体"/>
          <w:bCs/>
          <w:sz w:val="28"/>
          <w:szCs w:val="28"/>
        </w:rPr>
        <w:t>、服务内容：</w:t>
      </w:r>
    </w:p>
    <w:bookmarkEnd w:id="2"/>
    <w:bookmarkEnd w:id="3"/>
    <w:tbl>
      <w:tblPr>
        <w:tblStyle w:val="25"/>
        <w:tblW w:w="5082"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685"/>
        <w:gridCol w:w="812"/>
        <w:gridCol w:w="918"/>
        <w:gridCol w:w="4286"/>
        <w:gridCol w:w="565"/>
        <w:gridCol w:w="426"/>
        <w:gridCol w:w="1558"/>
      </w:tblGrid>
      <w:tr w14:paraId="5531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71" w:type="pct"/>
            <w:shd w:val="clear" w:color="000000" w:fill="E7E6E6"/>
            <w:vAlign w:val="center"/>
          </w:tcPr>
          <w:p w14:paraId="0414EDB1">
            <w:pPr>
              <w:widowControl/>
              <w:jc w:val="center"/>
              <w:rPr>
                <w:rFonts w:ascii="宋体" w:hAnsi="宋体" w:cs="宋体"/>
                <w:color w:val="000000"/>
                <w:kern w:val="0"/>
                <w:szCs w:val="21"/>
              </w:rPr>
            </w:pPr>
            <w:bookmarkStart w:id="5" w:name="_Toc519068587"/>
            <w:bookmarkEnd w:id="5"/>
            <w:bookmarkStart w:id="6" w:name="_Toc479257748"/>
            <w:bookmarkStart w:id="7" w:name="_Toc485736243"/>
            <w:bookmarkStart w:id="8" w:name="_Toc485736236"/>
            <w:bookmarkStart w:id="9" w:name="_Toc516969105"/>
            <w:r>
              <w:rPr>
                <w:rFonts w:hint="eastAsia" w:ascii="宋体" w:hAnsi="宋体" w:cs="宋体"/>
                <w:color w:val="000000"/>
                <w:kern w:val="0"/>
                <w:szCs w:val="21"/>
              </w:rPr>
              <w:t>序号</w:t>
            </w:r>
          </w:p>
        </w:tc>
        <w:tc>
          <w:tcPr>
            <w:tcW w:w="350" w:type="pct"/>
            <w:shd w:val="clear" w:color="000000" w:fill="E7E6E6"/>
            <w:vAlign w:val="center"/>
          </w:tcPr>
          <w:p w14:paraId="46322DAC">
            <w:pPr>
              <w:widowControl/>
              <w:jc w:val="center"/>
              <w:rPr>
                <w:rFonts w:ascii="宋体" w:hAnsi="宋体" w:cs="宋体"/>
                <w:color w:val="000000"/>
                <w:kern w:val="0"/>
                <w:szCs w:val="21"/>
              </w:rPr>
            </w:pPr>
            <w:r>
              <w:rPr>
                <w:rFonts w:hint="eastAsia" w:ascii="宋体" w:hAnsi="宋体" w:cs="宋体"/>
                <w:color w:val="000000"/>
                <w:kern w:val="0"/>
                <w:szCs w:val="21"/>
              </w:rPr>
              <w:t>服务类别</w:t>
            </w:r>
          </w:p>
        </w:tc>
        <w:tc>
          <w:tcPr>
            <w:tcW w:w="415" w:type="pct"/>
            <w:shd w:val="clear" w:color="000000" w:fill="E7E6E6"/>
            <w:vAlign w:val="center"/>
          </w:tcPr>
          <w:p w14:paraId="7B89F703">
            <w:pPr>
              <w:widowControl/>
              <w:jc w:val="center"/>
              <w:rPr>
                <w:rFonts w:ascii="宋体" w:hAnsi="宋体" w:cs="宋体"/>
                <w:color w:val="000000"/>
                <w:kern w:val="0"/>
                <w:szCs w:val="21"/>
              </w:rPr>
            </w:pPr>
            <w:r>
              <w:rPr>
                <w:rFonts w:hint="eastAsia" w:ascii="宋体" w:hAnsi="宋体" w:cs="宋体"/>
                <w:color w:val="000000"/>
                <w:kern w:val="0"/>
                <w:szCs w:val="21"/>
              </w:rPr>
              <w:t>服务项</w:t>
            </w:r>
          </w:p>
        </w:tc>
        <w:tc>
          <w:tcPr>
            <w:tcW w:w="469" w:type="pct"/>
            <w:shd w:val="clear" w:color="000000" w:fill="E7E6E6"/>
            <w:vAlign w:val="center"/>
          </w:tcPr>
          <w:p w14:paraId="3E869445">
            <w:pPr>
              <w:widowControl/>
              <w:jc w:val="center"/>
              <w:rPr>
                <w:rFonts w:ascii="宋体" w:hAnsi="宋体" w:cs="宋体"/>
                <w:color w:val="000000"/>
                <w:kern w:val="0"/>
                <w:szCs w:val="21"/>
              </w:rPr>
            </w:pPr>
            <w:r>
              <w:rPr>
                <w:rFonts w:hint="eastAsia" w:ascii="宋体" w:hAnsi="宋体" w:cs="宋体"/>
                <w:color w:val="000000"/>
                <w:kern w:val="0"/>
                <w:szCs w:val="21"/>
              </w:rPr>
              <w:t>服务</w:t>
            </w:r>
          </w:p>
          <w:p w14:paraId="0F68CA42">
            <w:pPr>
              <w:widowControl/>
              <w:jc w:val="center"/>
              <w:rPr>
                <w:rFonts w:ascii="宋体" w:hAnsi="宋体" w:cs="宋体"/>
                <w:color w:val="000000"/>
                <w:kern w:val="0"/>
                <w:szCs w:val="21"/>
              </w:rPr>
            </w:pPr>
            <w:r>
              <w:rPr>
                <w:rFonts w:hint="eastAsia" w:ascii="宋体" w:hAnsi="宋体" w:cs="宋体"/>
                <w:color w:val="000000"/>
                <w:kern w:val="0"/>
                <w:szCs w:val="21"/>
              </w:rPr>
              <w:t>细项</w:t>
            </w:r>
          </w:p>
        </w:tc>
        <w:tc>
          <w:tcPr>
            <w:tcW w:w="2191" w:type="pct"/>
            <w:shd w:val="clear" w:color="000000" w:fill="E7E6E6"/>
            <w:vAlign w:val="center"/>
          </w:tcPr>
          <w:p w14:paraId="7F501393">
            <w:pPr>
              <w:widowControl/>
              <w:jc w:val="center"/>
              <w:rPr>
                <w:rFonts w:ascii="宋体" w:hAnsi="宋体" w:cs="宋体"/>
                <w:color w:val="000000"/>
                <w:kern w:val="0"/>
                <w:szCs w:val="21"/>
              </w:rPr>
            </w:pPr>
            <w:r>
              <w:rPr>
                <w:rFonts w:hint="eastAsia" w:ascii="宋体" w:hAnsi="宋体" w:cs="宋体"/>
                <w:color w:val="000000"/>
                <w:kern w:val="0"/>
                <w:szCs w:val="21"/>
              </w:rPr>
              <w:t>服务描述</w:t>
            </w:r>
          </w:p>
        </w:tc>
        <w:tc>
          <w:tcPr>
            <w:tcW w:w="289" w:type="pct"/>
            <w:shd w:val="clear" w:color="000000" w:fill="E7E6E6"/>
            <w:vAlign w:val="center"/>
          </w:tcPr>
          <w:p w14:paraId="4E87C401">
            <w:pPr>
              <w:widowControl/>
              <w:jc w:val="center"/>
              <w:rPr>
                <w:rFonts w:ascii="宋体" w:hAnsi="宋体" w:cs="宋体"/>
                <w:color w:val="000000"/>
                <w:kern w:val="0"/>
                <w:szCs w:val="21"/>
              </w:rPr>
            </w:pPr>
            <w:r>
              <w:rPr>
                <w:rFonts w:hint="eastAsia" w:ascii="宋体" w:hAnsi="宋体" w:cs="宋体"/>
                <w:color w:val="000000"/>
                <w:kern w:val="0"/>
                <w:szCs w:val="21"/>
              </w:rPr>
              <w:t>数量</w:t>
            </w:r>
          </w:p>
        </w:tc>
        <w:tc>
          <w:tcPr>
            <w:tcW w:w="218" w:type="pct"/>
            <w:shd w:val="clear" w:color="000000" w:fill="E7E6E6"/>
            <w:vAlign w:val="center"/>
          </w:tcPr>
          <w:p w14:paraId="15C0157F">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797" w:type="pct"/>
            <w:shd w:val="clear" w:color="000000" w:fill="E7E6E6"/>
            <w:vAlign w:val="center"/>
          </w:tcPr>
          <w:p w14:paraId="7725AE0C">
            <w:pPr>
              <w:widowControl/>
              <w:jc w:val="center"/>
              <w:rPr>
                <w:rFonts w:ascii="宋体" w:hAnsi="宋体" w:cs="宋体"/>
                <w:color w:val="000000"/>
                <w:kern w:val="0"/>
                <w:szCs w:val="21"/>
              </w:rPr>
            </w:pPr>
            <w:r>
              <w:rPr>
                <w:rFonts w:hint="eastAsia" w:ascii="宋体" w:hAnsi="宋体" w:cs="宋体"/>
                <w:color w:val="000000"/>
                <w:kern w:val="0"/>
                <w:szCs w:val="21"/>
              </w:rPr>
              <w:t>服务输出</w:t>
            </w:r>
          </w:p>
        </w:tc>
      </w:tr>
      <w:tr w14:paraId="1699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272" w:type="pct"/>
            <w:shd w:val="clear" w:color="auto" w:fill="auto"/>
            <w:vAlign w:val="center"/>
          </w:tcPr>
          <w:p w14:paraId="0CDA230A">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350" w:type="pct"/>
            <w:vMerge w:val="restart"/>
            <w:shd w:val="clear" w:color="auto" w:fill="auto"/>
            <w:vAlign w:val="center"/>
          </w:tcPr>
          <w:p w14:paraId="263CB173">
            <w:pPr>
              <w:widowControl/>
              <w:jc w:val="center"/>
              <w:rPr>
                <w:rFonts w:ascii="宋体" w:hAnsi="宋体" w:cs="宋体"/>
                <w:color w:val="000000"/>
                <w:kern w:val="0"/>
                <w:szCs w:val="21"/>
              </w:rPr>
            </w:pPr>
            <w:r>
              <w:rPr>
                <w:rFonts w:hint="eastAsia" w:ascii="宋体" w:hAnsi="宋体" w:cs="宋体"/>
                <w:color w:val="000000"/>
                <w:kern w:val="0"/>
                <w:szCs w:val="21"/>
              </w:rPr>
              <w:t>网络安全驻场服务</w:t>
            </w:r>
          </w:p>
        </w:tc>
        <w:tc>
          <w:tcPr>
            <w:tcW w:w="415" w:type="pct"/>
            <w:shd w:val="clear" w:color="auto" w:fill="auto"/>
            <w:vAlign w:val="center"/>
          </w:tcPr>
          <w:p w14:paraId="4AF92AC6">
            <w:pPr>
              <w:widowControl/>
              <w:jc w:val="center"/>
              <w:rPr>
                <w:rFonts w:ascii="宋体" w:hAnsi="宋体" w:cs="宋体"/>
                <w:color w:val="000000"/>
                <w:kern w:val="0"/>
                <w:szCs w:val="21"/>
              </w:rPr>
            </w:pPr>
            <w:r>
              <w:rPr>
                <w:rFonts w:hint="eastAsia" w:ascii="宋体" w:hAnsi="宋体" w:cs="宋体"/>
                <w:color w:val="000000"/>
                <w:kern w:val="0"/>
                <w:szCs w:val="21"/>
              </w:rPr>
              <w:t>人员驻场</w:t>
            </w:r>
          </w:p>
        </w:tc>
        <w:tc>
          <w:tcPr>
            <w:tcW w:w="469" w:type="pct"/>
            <w:shd w:val="clear" w:color="auto" w:fill="auto"/>
            <w:vAlign w:val="center"/>
          </w:tcPr>
          <w:p w14:paraId="6C2DF50F">
            <w:pPr>
              <w:widowControl/>
              <w:jc w:val="center"/>
              <w:rPr>
                <w:rFonts w:ascii="宋体" w:hAnsi="宋体" w:cs="宋体"/>
                <w:color w:val="000000"/>
                <w:kern w:val="0"/>
                <w:szCs w:val="21"/>
              </w:rPr>
            </w:pPr>
            <w:r>
              <w:rPr>
                <w:rFonts w:hint="eastAsia" w:ascii="宋体" w:hAnsi="宋体" w:cs="宋体"/>
                <w:color w:val="000000"/>
                <w:kern w:val="0"/>
                <w:szCs w:val="21"/>
              </w:rPr>
              <w:t>网络安全运营人员（1名）</w:t>
            </w:r>
          </w:p>
        </w:tc>
        <w:tc>
          <w:tcPr>
            <w:tcW w:w="2191" w:type="pct"/>
            <w:shd w:val="clear" w:color="auto" w:fill="auto"/>
            <w:vAlign w:val="center"/>
          </w:tcPr>
          <w:p w14:paraId="72D8C4C0">
            <w:pPr>
              <w:widowControl/>
              <w:rPr>
                <w:rFonts w:ascii="宋体" w:hAnsi="宋体" w:cs="宋体"/>
                <w:color w:val="000000"/>
                <w:kern w:val="0"/>
                <w:szCs w:val="21"/>
              </w:rPr>
            </w:pPr>
            <w:r>
              <w:rPr>
                <w:rFonts w:hint="eastAsia" w:ascii="宋体" w:hAnsi="宋体" w:cs="宋体"/>
                <w:color w:val="000000"/>
                <w:kern w:val="0"/>
                <w:szCs w:val="21"/>
              </w:rPr>
              <w:t>提供1名具备CISP证书的网络安全运营专家驻场1年，负责提供技术支撑和响应，满足网络安全防护建设及优化过程中的各类需求。驻场专家应具备安全服务需求中常态化网络安全服务以及实战化安全运营服务过程中所需的全部网络安全技能，包括但不限于网络安全监测、风险评估、事件响应、事件处置、渗透测试等方面，确保能够提供高质量、专业化的网络安全服务。</w:t>
            </w:r>
          </w:p>
        </w:tc>
        <w:tc>
          <w:tcPr>
            <w:tcW w:w="289" w:type="pct"/>
            <w:vMerge w:val="restart"/>
            <w:shd w:val="clear" w:color="auto" w:fill="auto"/>
            <w:vAlign w:val="center"/>
          </w:tcPr>
          <w:p w14:paraId="32CD2F38">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17" w:type="pct"/>
            <w:vMerge w:val="restart"/>
            <w:shd w:val="clear" w:color="auto" w:fill="auto"/>
            <w:vAlign w:val="center"/>
          </w:tcPr>
          <w:p w14:paraId="79C97F49">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797" w:type="pct"/>
            <w:vMerge w:val="restart"/>
            <w:shd w:val="clear" w:color="auto" w:fill="auto"/>
            <w:vAlign w:val="center"/>
          </w:tcPr>
          <w:p w14:paraId="6B1A9FFD">
            <w:pPr>
              <w:widowControl/>
              <w:jc w:val="center"/>
              <w:rPr>
                <w:rFonts w:ascii="宋体" w:hAnsi="宋体" w:cs="宋体"/>
                <w:color w:val="000000"/>
                <w:kern w:val="0"/>
                <w:szCs w:val="21"/>
              </w:rPr>
            </w:pPr>
            <w:r>
              <w:rPr>
                <w:rFonts w:hint="eastAsia" w:ascii="宋体" w:hAnsi="宋体" w:cs="宋体"/>
                <w:color w:val="000000"/>
                <w:kern w:val="0"/>
                <w:szCs w:val="21"/>
              </w:rPr>
              <w:t>每月月底驻场专家根据实际工作内容提供1份当月《安全巡检报告》；《日常运维周报》、《日常运维月报》；《安全加固报告》等</w:t>
            </w:r>
          </w:p>
        </w:tc>
      </w:tr>
      <w:tr w14:paraId="4D28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2" w:type="pct"/>
            <w:shd w:val="clear" w:color="auto" w:fill="auto"/>
            <w:vAlign w:val="center"/>
          </w:tcPr>
          <w:p w14:paraId="544E0DB2">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350" w:type="pct"/>
            <w:vMerge w:val="continue"/>
            <w:vAlign w:val="center"/>
          </w:tcPr>
          <w:p w14:paraId="06EF54B4">
            <w:pPr>
              <w:widowControl/>
              <w:jc w:val="left"/>
              <w:rPr>
                <w:rFonts w:ascii="宋体" w:hAnsi="宋体" w:cs="宋体"/>
                <w:color w:val="000000"/>
                <w:kern w:val="0"/>
                <w:szCs w:val="21"/>
              </w:rPr>
            </w:pPr>
          </w:p>
        </w:tc>
        <w:tc>
          <w:tcPr>
            <w:tcW w:w="415" w:type="pct"/>
            <w:shd w:val="clear" w:color="auto" w:fill="auto"/>
            <w:vAlign w:val="center"/>
          </w:tcPr>
          <w:p w14:paraId="28894A92">
            <w:pPr>
              <w:widowControl/>
              <w:jc w:val="center"/>
              <w:rPr>
                <w:rFonts w:ascii="宋体" w:hAnsi="宋体" w:cs="宋体"/>
                <w:color w:val="000000"/>
                <w:kern w:val="0"/>
                <w:szCs w:val="21"/>
              </w:rPr>
            </w:pPr>
            <w:r>
              <w:rPr>
                <w:rFonts w:hint="eastAsia" w:ascii="宋体" w:hAnsi="宋体" w:cs="宋体"/>
                <w:color w:val="000000"/>
                <w:kern w:val="0"/>
                <w:szCs w:val="21"/>
              </w:rPr>
              <w:t>日常运维</w:t>
            </w:r>
          </w:p>
        </w:tc>
        <w:tc>
          <w:tcPr>
            <w:tcW w:w="469" w:type="pct"/>
            <w:shd w:val="clear" w:color="auto" w:fill="auto"/>
            <w:vAlign w:val="center"/>
          </w:tcPr>
          <w:p w14:paraId="55380C80">
            <w:pPr>
              <w:widowControl/>
              <w:jc w:val="center"/>
              <w:rPr>
                <w:rFonts w:ascii="宋体" w:hAnsi="宋体" w:cs="宋体"/>
                <w:color w:val="000000"/>
                <w:kern w:val="0"/>
                <w:szCs w:val="21"/>
              </w:rPr>
            </w:pPr>
            <w:r>
              <w:rPr>
                <w:rFonts w:hint="eastAsia" w:ascii="宋体" w:hAnsi="宋体" w:cs="宋体"/>
                <w:color w:val="000000"/>
                <w:kern w:val="0"/>
                <w:szCs w:val="21"/>
              </w:rPr>
              <w:t>安全运维</w:t>
            </w:r>
          </w:p>
        </w:tc>
        <w:tc>
          <w:tcPr>
            <w:tcW w:w="2191" w:type="pct"/>
            <w:shd w:val="clear" w:color="auto" w:fill="auto"/>
            <w:vAlign w:val="center"/>
          </w:tcPr>
          <w:p w14:paraId="65D399E2">
            <w:pPr>
              <w:widowControl/>
              <w:rPr>
                <w:rFonts w:ascii="宋体" w:hAnsi="宋体" w:cs="宋体"/>
                <w:color w:val="000000"/>
                <w:kern w:val="0"/>
                <w:szCs w:val="21"/>
              </w:rPr>
            </w:pPr>
            <w:r>
              <w:rPr>
                <w:rFonts w:hint="eastAsia" w:ascii="宋体" w:hAnsi="宋体" w:cs="宋体"/>
                <w:color w:val="000000"/>
                <w:kern w:val="0"/>
                <w:szCs w:val="21"/>
              </w:rPr>
              <w:t>提供日常安全设备巡检、风险协助整改、日常安全审计、基线配置核查、安全加固、迎检支撑、安全检查等服务。</w:t>
            </w:r>
          </w:p>
        </w:tc>
        <w:tc>
          <w:tcPr>
            <w:tcW w:w="289" w:type="pct"/>
            <w:vMerge w:val="continue"/>
            <w:vAlign w:val="center"/>
          </w:tcPr>
          <w:p w14:paraId="750FCB3E">
            <w:pPr>
              <w:widowControl/>
              <w:jc w:val="left"/>
              <w:rPr>
                <w:rFonts w:ascii="宋体" w:hAnsi="宋体" w:cs="宋体"/>
                <w:color w:val="000000"/>
                <w:kern w:val="0"/>
                <w:szCs w:val="21"/>
              </w:rPr>
            </w:pPr>
          </w:p>
        </w:tc>
        <w:tc>
          <w:tcPr>
            <w:tcW w:w="217" w:type="pct"/>
            <w:vMerge w:val="continue"/>
            <w:vAlign w:val="center"/>
          </w:tcPr>
          <w:p w14:paraId="1B145204">
            <w:pPr>
              <w:widowControl/>
              <w:jc w:val="left"/>
              <w:rPr>
                <w:rFonts w:ascii="宋体" w:hAnsi="宋体" w:cs="宋体"/>
                <w:color w:val="000000"/>
                <w:kern w:val="0"/>
                <w:szCs w:val="21"/>
              </w:rPr>
            </w:pPr>
          </w:p>
        </w:tc>
        <w:tc>
          <w:tcPr>
            <w:tcW w:w="797" w:type="pct"/>
            <w:vMerge w:val="continue"/>
            <w:vAlign w:val="center"/>
          </w:tcPr>
          <w:p w14:paraId="6FD89C36">
            <w:pPr>
              <w:widowControl/>
              <w:jc w:val="left"/>
              <w:rPr>
                <w:rFonts w:ascii="宋体" w:hAnsi="宋体" w:cs="宋体"/>
                <w:color w:val="000000"/>
                <w:kern w:val="0"/>
                <w:szCs w:val="21"/>
              </w:rPr>
            </w:pPr>
          </w:p>
        </w:tc>
      </w:tr>
      <w:tr w14:paraId="0595C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72" w:type="pct"/>
            <w:shd w:val="clear" w:color="auto" w:fill="auto"/>
            <w:vAlign w:val="center"/>
          </w:tcPr>
          <w:p w14:paraId="2BB8833B">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350" w:type="pct"/>
            <w:vMerge w:val="continue"/>
            <w:vAlign w:val="center"/>
          </w:tcPr>
          <w:p w14:paraId="274A4E07">
            <w:pPr>
              <w:widowControl/>
              <w:jc w:val="left"/>
              <w:rPr>
                <w:rFonts w:ascii="宋体" w:hAnsi="宋体" w:cs="宋体"/>
                <w:color w:val="000000"/>
                <w:kern w:val="0"/>
                <w:szCs w:val="21"/>
              </w:rPr>
            </w:pPr>
          </w:p>
        </w:tc>
        <w:tc>
          <w:tcPr>
            <w:tcW w:w="415" w:type="pct"/>
            <w:shd w:val="clear" w:color="auto" w:fill="auto"/>
            <w:vAlign w:val="center"/>
          </w:tcPr>
          <w:p w14:paraId="7760E717">
            <w:pPr>
              <w:widowControl/>
              <w:jc w:val="center"/>
              <w:rPr>
                <w:rFonts w:ascii="宋体" w:hAnsi="宋体" w:cs="宋体"/>
                <w:color w:val="000000"/>
                <w:kern w:val="0"/>
                <w:szCs w:val="21"/>
              </w:rPr>
            </w:pPr>
            <w:r>
              <w:rPr>
                <w:rFonts w:hint="eastAsia" w:ascii="宋体" w:hAnsi="宋体" w:cs="宋体"/>
                <w:color w:val="000000"/>
                <w:kern w:val="0"/>
                <w:szCs w:val="21"/>
              </w:rPr>
              <w:t>事件上报</w:t>
            </w:r>
          </w:p>
        </w:tc>
        <w:tc>
          <w:tcPr>
            <w:tcW w:w="469" w:type="pct"/>
            <w:shd w:val="clear" w:color="auto" w:fill="auto"/>
            <w:vAlign w:val="center"/>
          </w:tcPr>
          <w:p w14:paraId="005F78D7">
            <w:pPr>
              <w:widowControl/>
              <w:jc w:val="center"/>
              <w:rPr>
                <w:rFonts w:ascii="宋体" w:hAnsi="宋体" w:cs="宋体"/>
                <w:color w:val="000000"/>
                <w:kern w:val="0"/>
                <w:szCs w:val="21"/>
              </w:rPr>
            </w:pPr>
            <w:r>
              <w:rPr>
                <w:rFonts w:hint="eastAsia" w:ascii="宋体" w:hAnsi="宋体" w:cs="宋体"/>
                <w:color w:val="000000"/>
                <w:kern w:val="0"/>
                <w:szCs w:val="21"/>
              </w:rPr>
              <w:t>事件告警</w:t>
            </w:r>
          </w:p>
        </w:tc>
        <w:tc>
          <w:tcPr>
            <w:tcW w:w="2191" w:type="pct"/>
            <w:shd w:val="clear" w:color="auto" w:fill="auto"/>
            <w:vAlign w:val="center"/>
          </w:tcPr>
          <w:p w14:paraId="32DAB892">
            <w:pPr>
              <w:widowControl/>
              <w:rPr>
                <w:rFonts w:ascii="宋体" w:hAnsi="宋体" w:cs="宋体"/>
                <w:color w:val="000000"/>
                <w:kern w:val="0"/>
                <w:szCs w:val="21"/>
              </w:rPr>
            </w:pPr>
            <w:r>
              <w:rPr>
                <w:rFonts w:hint="eastAsia" w:ascii="宋体" w:hAnsi="宋体" w:cs="宋体"/>
                <w:color w:val="000000"/>
                <w:kern w:val="0"/>
                <w:szCs w:val="21"/>
              </w:rPr>
              <w:t>建立及时准确的安全事件预警上报体系，在事件分类的基础上，进一步研究针对各类安全事件的响应对策，快速向招标人及相关方推出安全预警信息及解决方案，并协助招标人根据实际情况制定应急预案，针对监管单位通报或最新暴出的高危漏洞，第一时间确认通报是否属实，以及漏洞是否在招标人单位存在，漏洞影响范围等。</w:t>
            </w:r>
          </w:p>
        </w:tc>
        <w:tc>
          <w:tcPr>
            <w:tcW w:w="289" w:type="pct"/>
            <w:vMerge w:val="continue"/>
            <w:vAlign w:val="center"/>
          </w:tcPr>
          <w:p w14:paraId="41E99AEE">
            <w:pPr>
              <w:widowControl/>
              <w:jc w:val="left"/>
              <w:rPr>
                <w:rFonts w:ascii="宋体" w:hAnsi="宋体" w:cs="宋体"/>
                <w:color w:val="000000"/>
                <w:kern w:val="0"/>
                <w:szCs w:val="21"/>
              </w:rPr>
            </w:pPr>
          </w:p>
        </w:tc>
        <w:tc>
          <w:tcPr>
            <w:tcW w:w="217" w:type="pct"/>
            <w:vMerge w:val="continue"/>
            <w:vAlign w:val="center"/>
          </w:tcPr>
          <w:p w14:paraId="50D4BAEB">
            <w:pPr>
              <w:widowControl/>
              <w:jc w:val="left"/>
              <w:rPr>
                <w:rFonts w:ascii="宋体" w:hAnsi="宋体" w:cs="宋体"/>
                <w:color w:val="000000"/>
                <w:kern w:val="0"/>
                <w:szCs w:val="21"/>
              </w:rPr>
            </w:pPr>
          </w:p>
        </w:tc>
        <w:tc>
          <w:tcPr>
            <w:tcW w:w="797" w:type="pct"/>
            <w:vMerge w:val="continue"/>
            <w:vAlign w:val="center"/>
          </w:tcPr>
          <w:p w14:paraId="5EF34F3A">
            <w:pPr>
              <w:widowControl/>
              <w:jc w:val="left"/>
              <w:rPr>
                <w:rFonts w:ascii="宋体" w:hAnsi="宋体" w:cs="宋体"/>
                <w:color w:val="000000"/>
                <w:kern w:val="0"/>
                <w:szCs w:val="21"/>
              </w:rPr>
            </w:pPr>
          </w:p>
        </w:tc>
      </w:tr>
      <w:tr w14:paraId="669DF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72" w:type="pct"/>
            <w:shd w:val="clear" w:color="auto" w:fill="auto"/>
            <w:vAlign w:val="center"/>
          </w:tcPr>
          <w:p w14:paraId="1618CEA4">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350" w:type="pct"/>
            <w:vMerge w:val="restart"/>
            <w:shd w:val="clear" w:color="auto" w:fill="auto"/>
            <w:vAlign w:val="center"/>
          </w:tcPr>
          <w:p w14:paraId="13BAF95F">
            <w:pPr>
              <w:widowControl/>
              <w:jc w:val="center"/>
              <w:rPr>
                <w:rFonts w:ascii="宋体" w:hAnsi="宋体" w:cs="宋体"/>
                <w:color w:val="000000"/>
                <w:kern w:val="0"/>
                <w:szCs w:val="21"/>
              </w:rPr>
            </w:pPr>
            <w:r>
              <w:rPr>
                <w:rFonts w:hint="eastAsia" w:ascii="宋体" w:hAnsi="宋体" w:cs="宋体"/>
                <w:color w:val="000000"/>
                <w:kern w:val="0"/>
                <w:szCs w:val="21"/>
              </w:rPr>
              <w:t>专项网络安全服务</w:t>
            </w:r>
          </w:p>
        </w:tc>
        <w:tc>
          <w:tcPr>
            <w:tcW w:w="415" w:type="pct"/>
            <w:shd w:val="clear" w:color="auto" w:fill="auto"/>
            <w:vAlign w:val="center"/>
          </w:tcPr>
          <w:p w14:paraId="33CAE632">
            <w:pPr>
              <w:widowControl/>
              <w:jc w:val="center"/>
              <w:rPr>
                <w:rFonts w:ascii="宋体" w:hAnsi="宋体" w:cs="宋体"/>
                <w:color w:val="000000"/>
                <w:kern w:val="0"/>
                <w:szCs w:val="21"/>
              </w:rPr>
            </w:pPr>
            <w:r>
              <w:rPr>
                <w:rFonts w:hint="eastAsia" w:ascii="宋体" w:hAnsi="宋体" w:cs="宋体"/>
                <w:color w:val="000000"/>
                <w:kern w:val="0"/>
                <w:szCs w:val="21"/>
              </w:rPr>
              <w:t>漏洞管理</w:t>
            </w:r>
          </w:p>
        </w:tc>
        <w:tc>
          <w:tcPr>
            <w:tcW w:w="469" w:type="pct"/>
            <w:shd w:val="clear" w:color="auto" w:fill="auto"/>
            <w:vAlign w:val="center"/>
          </w:tcPr>
          <w:p w14:paraId="04D32D08">
            <w:pPr>
              <w:widowControl/>
              <w:jc w:val="center"/>
              <w:rPr>
                <w:rFonts w:ascii="宋体" w:hAnsi="宋体" w:cs="宋体"/>
                <w:color w:val="000000"/>
                <w:kern w:val="0"/>
                <w:szCs w:val="21"/>
              </w:rPr>
            </w:pPr>
            <w:r>
              <w:rPr>
                <w:rFonts w:hint="eastAsia" w:ascii="宋体" w:hAnsi="宋体" w:cs="宋体"/>
                <w:color w:val="000000"/>
                <w:kern w:val="0"/>
                <w:szCs w:val="21"/>
              </w:rPr>
              <w:t>漏洞扫描服务</w:t>
            </w:r>
          </w:p>
        </w:tc>
        <w:tc>
          <w:tcPr>
            <w:tcW w:w="2191" w:type="pct"/>
            <w:shd w:val="clear" w:color="auto" w:fill="auto"/>
            <w:vAlign w:val="center"/>
          </w:tcPr>
          <w:p w14:paraId="6955257B">
            <w:pPr>
              <w:widowControl/>
              <w:rPr>
                <w:rFonts w:ascii="宋体" w:hAnsi="宋体" w:cs="宋体"/>
                <w:color w:val="000000"/>
                <w:kern w:val="0"/>
                <w:szCs w:val="21"/>
              </w:rPr>
            </w:pPr>
            <w:r>
              <w:rPr>
                <w:rFonts w:hint="eastAsia" w:ascii="宋体" w:hAnsi="宋体" w:cs="宋体"/>
                <w:color w:val="000000"/>
                <w:kern w:val="0"/>
                <w:szCs w:val="21"/>
              </w:rPr>
              <w:t>每季度开展1次漏洞扫描等漏洞识别服务，挖掘主机操作系统、中间件、数据库、安全设备等相关设备或应用的漏洞信息，定位未修复的漏洞，并提供漏洞修复建议，协助招标人完成漏洞修复。</w:t>
            </w:r>
          </w:p>
        </w:tc>
        <w:tc>
          <w:tcPr>
            <w:tcW w:w="289" w:type="pct"/>
            <w:vMerge w:val="restart"/>
            <w:shd w:val="clear" w:color="auto" w:fill="auto"/>
            <w:vAlign w:val="center"/>
          </w:tcPr>
          <w:p w14:paraId="37CBF52D">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17" w:type="pct"/>
            <w:vMerge w:val="restart"/>
            <w:shd w:val="clear" w:color="auto" w:fill="auto"/>
            <w:vAlign w:val="center"/>
          </w:tcPr>
          <w:p w14:paraId="2CBE903B">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797" w:type="pct"/>
            <w:shd w:val="clear" w:color="auto" w:fill="auto"/>
            <w:vAlign w:val="center"/>
          </w:tcPr>
          <w:p w14:paraId="54D177AA">
            <w:pPr>
              <w:widowControl/>
              <w:jc w:val="center"/>
              <w:rPr>
                <w:rFonts w:ascii="宋体" w:hAnsi="宋体" w:cs="宋体"/>
                <w:color w:val="000000"/>
                <w:kern w:val="0"/>
                <w:szCs w:val="21"/>
              </w:rPr>
            </w:pPr>
            <w:r>
              <w:rPr>
                <w:rFonts w:hint="eastAsia" w:ascii="宋体" w:hAnsi="宋体" w:cs="宋体"/>
                <w:color w:val="000000"/>
                <w:kern w:val="0"/>
                <w:szCs w:val="21"/>
              </w:rPr>
              <w:t>每季度完成漏扫后3个工作日内提供1份《漏洞扫描报告》</w:t>
            </w:r>
          </w:p>
        </w:tc>
      </w:tr>
      <w:tr w14:paraId="0DBB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72" w:type="pct"/>
            <w:shd w:val="clear" w:color="auto" w:fill="auto"/>
            <w:vAlign w:val="center"/>
          </w:tcPr>
          <w:p w14:paraId="631D692A">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350" w:type="pct"/>
            <w:vMerge w:val="continue"/>
            <w:vAlign w:val="center"/>
          </w:tcPr>
          <w:p w14:paraId="15456442">
            <w:pPr>
              <w:widowControl/>
              <w:jc w:val="left"/>
              <w:rPr>
                <w:rFonts w:ascii="宋体" w:hAnsi="宋体" w:cs="宋体"/>
                <w:color w:val="000000"/>
                <w:kern w:val="0"/>
                <w:szCs w:val="21"/>
              </w:rPr>
            </w:pPr>
          </w:p>
        </w:tc>
        <w:tc>
          <w:tcPr>
            <w:tcW w:w="415" w:type="pct"/>
            <w:shd w:val="clear" w:color="auto" w:fill="auto"/>
            <w:vAlign w:val="center"/>
          </w:tcPr>
          <w:p w14:paraId="0EC51A5A">
            <w:pPr>
              <w:widowControl/>
              <w:jc w:val="center"/>
              <w:rPr>
                <w:rFonts w:ascii="宋体" w:hAnsi="宋体" w:cs="宋体"/>
                <w:color w:val="000000"/>
                <w:kern w:val="0"/>
                <w:szCs w:val="21"/>
              </w:rPr>
            </w:pPr>
            <w:r>
              <w:rPr>
                <w:rFonts w:hint="eastAsia" w:ascii="宋体" w:hAnsi="宋体" w:cs="宋体"/>
                <w:color w:val="000000"/>
                <w:kern w:val="0"/>
                <w:szCs w:val="21"/>
              </w:rPr>
              <w:t>渗透测试</w:t>
            </w:r>
          </w:p>
        </w:tc>
        <w:tc>
          <w:tcPr>
            <w:tcW w:w="469" w:type="pct"/>
            <w:shd w:val="clear" w:color="auto" w:fill="auto"/>
            <w:vAlign w:val="center"/>
          </w:tcPr>
          <w:p w14:paraId="7183DD8B">
            <w:pPr>
              <w:widowControl/>
              <w:jc w:val="center"/>
              <w:rPr>
                <w:rFonts w:ascii="宋体" w:hAnsi="宋体" w:cs="宋体"/>
                <w:color w:val="000000"/>
                <w:kern w:val="0"/>
                <w:szCs w:val="21"/>
              </w:rPr>
            </w:pPr>
            <w:r>
              <w:rPr>
                <w:rFonts w:hint="eastAsia" w:ascii="宋体" w:hAnsi="宋体" w:cs="宋体"/>
                <w:color w:val="000000"/>
                <w:kern w:val="0"/>
                <w:szCs w:val="21"/>
              </w:rPr>
              <w:t>渗透测试服务</w:t>
            </w:r>
          </w:p>
        </w:tc>
        <w:tc>
          <w:tcPr>
            <w:tcW w:w="2191" w:type="pct"/>
            <w:shd w:val="clear" w:color="auto" w:fill="auto"/>
            <w:vAlign w:val="center"/>
          </w:tcPr>
          <w:p w14:paraId="4620EC04">
            <w:pPr>
              <w:widowControl/>
              <w:rPr>
                <w:rFonts w:ascii="宋体" w:hAnsi="宋体" w:cs="宋体"/>
                <w:color w:val="000000"/>
                <w:kern w:val="0"/>
                <w:szCs w:val="21"/>
              </w:rPr>
            </w:pPr>
            <w:r>
              <w:rPr>
                <w:rFonts w:hint="eastAsia" w:ascii="宋体" w:hAnsi="宋体" w:cs="宋体"/>
                <w:color w:val="000000"/>
                <w:kern w:val="0"/>
                <w:szCs w:val="21"/>
              </w:rPr>
              <w:t>每季度对招标人指定信息系统开展周期性的渗透测试服务，以模拟黑客攻击的手段，从攻击者角度发现招标人的网络安全风险，先一步攻击者发现网络相关漏洞，防止被攻击者利用。</w:t>
            </w:r>
          </w:p>
        </w:tc>
        <w:tc>
          <w:tcPr>
            <w:tcW w:w="289" w:type="pct"/>
            <w:vMerge w:val="continue"/>
            <w:vAlign w:val="center"/>
          </w:tcPr>
          <w:p w14:paraId="3B24B561">
            <w:pPr>
              <w:widowControl/>
              <w:jc w:val="left"/>
              <w:rPr>
                <w:rFonts w:ascii="宋体" w:hAnsi="宋体" w:cs="宋体"/>
                <w:color w:val="000000"/>
                <w:kern w:val="0"/>
                <w:szCs w:val="21"/>
              </w:rPr>
            </w:pPr>
          </w:p>
        </w:tc>
        <w:tc>
          <w:tcPr>
            <w:tcW w:w="217" w:type="pct"/>
            <w:vMerge w:val="continue"/>
            <w:vAlign w:val="center"/>
          </w:tcPr>
          <w:p w14:paraId="2C947348">
            <w:pPr>
              <w:widowControl/>
              <w:jc w:val="left"/>
              <w:rPr>
                <w:rFonts w:ascii="宋体" w:hAnsi="宋体" w:cs="宋体"/>
                <w:color w:val="000000"/>
                <w:kern w:val="0"/>
                <w:szCs w:val="21"/>
              </w:rPr>
            </w:pPr>
          </w:p>
        </w:tc>
        <w:tc>
          <w:tcPr>
            <w:tcW w:w="797" w:type="pct"/>
            <w:shd w:val="clear" w:color="auto" w:fill="auto"/>
            <w:vAlign w:val="center"/>
          </w:tcPr>
          <w:p w14:paraId="302836FD">
            <w:pPr>
              <w:widowControl/>
              <w:jc w:val="center"/>
              <w:rPr>
                <w:rFonts w:ascii="宋体" w:hAnsi="宋体" w:cs="宋体"/>
                <w:color w:val="000000"/>
                <w:kern w:val="0"/>
                <w:szCs w:val="21"/>
              </w:rPr>
            </w:pPr>
            <w:r>
              <w:rPr>
                <w:rFonts w:hint="eastAsia" w:ascii="宋体" w:hAnsi="宋体" w:cs="宋体"/>
                <w:color w:val="000000"/>
                <w:kern w:val="0"/>
                <w:szCs w:val="21"/>
              </w:rPr>
              <w:t>每季度完成渗透测试后3个工作日内提供1份《渗透测试报告》</w:t>
            </w:r>
          </w:p>
        </w:tc>
      </w:tr>
      <w:tr w14:paraId="77D7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72" w:type="pct"/>
            <w:shd w:val="clear" w:color="auto" w:fill="auto"/>
            <w:vAlign w:val="center"/>
          </w:tcPr>
          <w:p w14:paraId="20AD8545">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350" w:type="pct"/>
            <w:vMerge w:val="continue"/>
            <w:vAlign w:val="center"/>
          </w:tcPr>
          <w:p w14:paraId="0EB69CFA">
            <w:pPr>
              <w:widowControl/>
              <w:jc w:val="left"/>
              <w:rPr>
                <w:rFonts w:ascii="宋体" w:hAnsi="宋体" w:cs="宋体"/>
                <w:color w:val="000000"/>
                <w:kern w:val="0"/>
                <w:szCs w:val="21"/>
              </w:rPr>
            </w:pPr>
          </w:p>
        </w:tc>
        <w:tc>
          <w:tcPr>
            <w:tcW w:w="415" w:type="pct"/>
            <w:shd w:val="clear" w:color="auto" w:fill="auto"/>
            <w:vAlign w:val="center"/>
          </w:tcPr>
          <w:p w14:paraId="3EEA2756">
            <w:pPr>
              <w:widowControl/>
              <w:jc w:val="center"/>
              <w:rPr>
                <w:rFonts w:ascii="宋体" w:hAnsi="宋体" w:cs="宋体"/>
                <w:color w:val="000000"/>
                <w:kern w:val="0"/>
                <w:szCs w:val="21"/>
              </w:rPr>
            </w:pPr>
            <w:r>
              <w:rPr>
                <w:rFonts w:hint="eastAsia" w:ascii="宋体" w:hAnsi="宋体" w:cs="宋体"/>
                <w:color w:val="000000"/>
                <w:kern w:val="0"/>
                <w:szCs w:val="21"/>
              </w:rPr>
              <w:t>专项检查</w:t>
            </w:r>
          </w:p>
        </w:tc>
        <w:tc>
          <w:tcPr>
            <w:tcW w:w="469" w:type="pct"/>
            <w:shd w:val="clear" w:color="auto" w:fill="auto"/>
            <w:vAlign w:val="center"/>
          </w:tcPr>
          <w:p w14:paraId="667462F2">
            <w:pPr>
              <w:widowControl/>
              <w:jc w:val="center"/>
              <w:rPr>
                <w:rFonts w:ascii="宋体" w:hAnsi="宋体" w:cs="宋体"/>
                <w:color w:val="000000"/>
                <w:kern w:val="0"/>
                <w:szCs w:val="21"/>
              </w:rPr>
            </w:pPr>
            <w:r>
              <w:rPr>
                <w:rFonts w:hint="eastAsia" w:ascii="宋体" w:hAnsi="宋体" w:cs="宋体"/>
                <w:color w:val="000000"/>
                <w:kern w:val="0"/>
                <w:szCs w:val="21"/>
              </w:rPr>
              <w:t>专项检查服务</w:t>
            </w:r>
          </w:p>
        </w:tc>
        <w:tc>
          <w:tcPr>
            <w:tcW w:w="2191" w:type="pct"/>
            <w:shd w:val="clear" w:color="auto" w:fill="auto"/>
            <w:vAlign w:val="center"/>
          </w:tcPr>
          <w:p w14:paraId="7646C959">
            <w:pPr>
              <w:widowControl/>
              <w:rPr>
                <w:rFonts w:ascii="宋体" w:hAnsi="宋体" w:cs="宋体"/>
                <w:color w:val="000000"/>
                <w:kern w:val="0"/>
                <w:szCs w:val="21"/>
              </w:rPr>
            </w:pPr>
            <w:r>
              <w:rPr>
                <w:rFonts w:hint="eastAsia" w:ascii="宋体" w:hAnsi="宋体" w:cs="宋体"/>
                <w:color w:val="000000"/>
                <w:kern w:val="0"/>
                <w:szCs w:val="21"/>
              </w:rPr>
              <w:t>每季度开展专项安全检查行动，专项检查内容包括但不限于：弱口令排查、违规接入与设备外联风险排查、公众号小程序专项检测等，并输出检查报告，配合完成整改。</w:t>
            </w:r>
          </w:p>
        </w:tc>
        <w:tc>
          <w:tcPr>
            <w:tcW w:w="289" w:type="pct"/>
            <w:vMerge w:val="continue"/>
            <w:vAlign w:val="center"/>
          </w:tcPr>
          <w:p w14:paraId="3FC2ADC9">
            <w:pPr>
              <w:widowControl/>
              <w:jc w:val="left"/>
              <w:rPr>
                <w:rFonts w:ascii="宋体" w:hAnsi="宋体" w:cs="宋体"/>
                <w:color w:val="000000"/>
                <w:kern w:val="0"/>
                <w:szCs w:val="21"/>
              </w:rPr>
            </w:pPr>
          </w:p>
        </w:tc>
        <w:tc>
          <w:tcPr>
            <w:tcW w:w="217" w:type="pct"/>
            <w:vMerge w:val="continue"/>
            <w:vAlign w:val="center"/>
          </w:tcPr>
          <w:p w14:paraId="13798A43">
            <w:pPr>
              <w:widowControl/>
              <w:jc w:val="left"/>
              <w:rPr>
                <w:rFonts w:ascii="宋体" w:hAnsi="宋体" w:cs="宋体"/>
                <w:color w:val="000000"/>
                <w:kern w:val="0"/>
                <w:szCs w:val="21"/>
              </w:rPr>
            </w:pPr>
          </w:p>
        </w:tc>
        <w:tc>
          <w:tcPr>
            <w:tcW w:w="797" w:type="pct"/>
            <w:shd w:val="clear" w:color="auto" w:fill="auto"/>
            <w:vAlign w:val="center"/>
          </w:tcPr>
          <w:p w14:paraId="74B48E26">
            <w:pPr>
              <w:widowControl/>
              <w:jc w:val="center"/>
              <w:rPr>
                <w:rFonts w:ascii="宋体" w:hAnsi="宋体" w:cs="宋体"/>
                <w:color w:val="000000"/>
                <w:kern w:val="0"/>
                <w:szCs w:val="21"/>
              </w:rPr>
            </w:pPr>
            <w:r>
              <w:rPr>
                <w:rFonts w:hint="eastAsia" w:ascii="宋体" w:hAnsi="宋体" w:cs="宋体"/>
                <w:color w:val="000000"/>
                <w:kern w:val="0"/>
                <w:szCs w:val="21"/>
              </w:rPr>
              <w:t>每季度专项安全检查后3个工作日内提供1份《专项检查报告》</w:t>
            </w:r>
          </w:p>
        </w:tc>
      </w:tr>
      <w:tr w14:paraId="6BF3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72" w:type="pct"/>
            <w:shd w:val="clear" w:color="auto" w:fill="auto"/>
            <w:vAlign w:val="center"/>
          </w:tcPr>
          <w:p w14:paraId="6C9C0BA4">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350" w:type="pct"/>
            <w:vMerge w:val="continue"/>
            <w:vAlign w:val="center"/>
          </w:tcPr>
          <w:p w14:paraId="1ACB28B0">
            <w:pPr>
              <w:widowControl/>
              <w:jc w:val="left"/>
              <w:rPr>
                <w:rFonts w:ascii="宋体" w:hAnsi="宋体" w:cs="宋体"/>
                <w:color w:val="000000"/>
                <w:kern w:val="0"/>
                <w:szCs w:val="21"/>
              </w:rPr>
            </w:pPr>
          </w:p>
        </w:tc>
        <w:tc>
          <w:tcPr>
            <w:tcW w:w="415" w:type="pct"/>
            <w:shd w:val="clear" w:color="auto" w:fill="auto"/>
            <w:vAlign w:val="center"/>
          </w:tcPr>
          <w:p w14:paraId="04840CC1">
            <w:pPr>
              <w:widowControl/>
              <w:jc w:val="center"/>
              <w:rPr>
                <w:rFonts w:ascii="宋体" w:hAnsi="宋体" w:cs="宋体"/>
                <w:color w:val="000000"/>
                <w:kern w:val="0"/>
                <w:szCs w:val="21"/>
              </w:rPr>
            </w:pPr>
            <w:r>
              <w:rPr>
                <w:rFonts w:hint="eastAsia" w:ascii="宋体" w:hAnsi="宋体" w:cs="宋体"/>
                <w:color w:val="000000"/>
                <w:kern w:val="0"/>
                <w:szCs w:val="21"/>
              </w:rPr>
              <w:t>策略管理</w:t>
            </w:r>
          </w:p>
        </w:tc>
        <w:tc>
          <w:tcPr>
            <w:tcW w:w="469" w:type="pct"/>
            <w:shd w:val="clear" w:color="auto" w:fill="auto"/>
            <w:vAlign w:val="center"/>
          </w:tcPr>
          <w:p w14:paraId="75C5C8B3">
            <w:pPr>
              <w:widowControl/>
              <w:jc w:val="center"/>
              <w:rPr>
                <w:rFonts w:ascii="宋体" w:hAnsi="宋体" w:cs="宋体"/>
                <w:color w:val="000000"/>
                <w:kern w:val="0"/>
                <w:szCs w:val="21"/>
              </w:rPr>
            </w:pPr>
            <w:r>
              <w:rPr>
                <w:rFonts w:hint="eastAsia" w:ascii="宋体" w:hAnsi="宋体" w:cs="宋体"/>
                <w:color w:val="000000"/>
                <w:kern w:val="0"/>
                <w:szCs w:val="21"/>
              </w:rPr>
              <w:t>策略管理服务</w:t>
            </w:r>
          </w:p>
        </w:tc>
        <w:tc>
          <w:tcPr>
            <w:tcW w:w="2191" w:type="pct"/>
            <w:shd w:val="clear" w:color="auto" w:fill="auto"/>
            <w:vAlign w:val="center"/>
          </w:tcPr>
          <w:p w14:paraId="0FBAF975">
            <w:pPr>
              <w:widowControl/>
              <w:rPr>
                <w:rFonts w:ascii="宋体" w:hAnsi="宋体" w:cs="宋体"/>
                <w:color w:val="000000"/>
                <w:kern w:val="0"/>
                <w:szCs w:val="21"/>
              </w:rPr>
            </w:pPr>
            <w:r>
              <w:rPr>
                <w:rFonts w:hint="eastAsia" w:ascii="宋体" w:hAnsi="宋体" w:cs="宋体"/>
                <w:color w:val="000000"/>
                <w:kern w:val="0"/>
                <w:szCs w:val="21"/>
              </w:rPr>
              <w:t>每月进行安全策略的梳理和检查，定期针对日常安全监测和安全风险检查的结果进行综合分析研判，识别网络安全风险、脆弱性和不合规配置项，从整体网络安全技术防护策略的角度提出准确、有效的改进措施，指导和协助开展策略配置调优，确保安全策略符合标准要求，使设备的安全防护能力有效发挥；以持续提升安全运行和防护能力。</w:t>
            </w:r>
          </w:p>
        </w:tc>
        <w:tc>
          <w:tcPr>
            <w:tcW w:w="289" w:type="pct"/>
            <w:vMerge w:val="continue"/>
            <w:vAlign w:val="center"/>
          </w:tcPr>
          <w:p w14:paraId="1573BB69">
            <w:pPr>
              <w:widowControl/>
              <w:jc w:val="left"/>
              <w:rPr>
                <w:rFonts w:ascii="宋体" w:hAnsi="宋体" w:cs="宋体"/>
                <w:color w:val="000000"/>
                <w:kern w:val="0"/>
                <w:szCs w:val="21"/>
              </w:rPr>
            </w:pPr>
          </w:p>
        </w:tc>
        <w:tc>
          <w:tcPr>
            <w:tcW w:w="217" w:type="pct"/>
            <w:vMerge w:val="continue"/>
            <w:vAlign w:val="center"/>
          </w:tcPr>
          <w:p w14:paraId="3A5F688C">
            <w:pPr>
              <w:widowControl/>
              <w:jc w:val="left"/>
              <w:rPr>
                <w:rFonts w:ascii="宋体" w:hAnsi="宋体" w:cs="宋体"/>
                <w:color w:val="000000"/>
                <w:kern w:val="0"/>
                <w:szCs w:val="21"/>
              </w:rPr>
            </w:pPr>
          </w:p>
        </w:tc>
        <w:tc>
          <w:tcPr>
            <w:tcW w:w="797" w:type="pct"/>
            <w:shd w:val="clear" w:color="auto" w:fill="auto"/>
            <w:vAlign w:val="center"/>
          </w:tcPr>
          <w:p w14:paraId="31E550B6">
            <w:pPr>
              <w:widowControl/>
              <w:jc w:val="center"/>
              <w:rPr>
                <w:rFonts w:ascii="宋体" w:hAnsi="宋体" w:cs="宋体"/>
                <w:color w:val="000000"/>
                <w:kern w:val="0"/>
                <w:szCs w:val="21"/>
              </w:rPr>
            </w:pPr>
            <w:r>
              <w:rPr>
                <w:rFonts w:hint="eastAsia" w:ascii="宋体" w:hAnsi="宋体" w:cs="宋体"/>
                <w:color w:val="000000"/>
                <w:kern w:val="0"/>
                <w:szCs w:val="21"/>
              </w:rPr>
              <w:t>每月完成安全策略检查后3个工作日内提供1份《分析研判报告》</w:t>
            </w:r>
          </w:p>
        </w:tc>
      </w:tr>
      <w:tr w14:paraId="3ABE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72" w:type="pct"/>
            <w:shd w:val="clear" w:color="auto" w:fill="auto"/>
            <w:vAlign w:val="center"/>
          </w:tcPr>
          <w:p w14:paraId="1CA78E95">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350" w:type="pct"/>
            <w:vMerge w:val="continue"/>
            <w:vAlign w:val="center"/>
          </w:tcPr>
          <w:p w14:paraId="38A6EE6E">
            <w:pPr>
              <w:widowControl/>
              <w:jc w:val="left"/>
              <w:rPr>
                <w:rFonts w:ascii="宋体" w:hAnsi="宋体" w:cs="宋体"/>
                <w:color w:val="000000"/>
                <w:kern w:val="0"/>
                <w:szCs w:val="21"/>
              </w:rPr>
            </w:pPr>
          </w:p>
        </w:tc>
        <w:tc>
          <w:tcPr>
            <w:tcW w:w="415" w:type="pct"/>
            <w:shd w:val="clear" w:color="auto" w:fill="auto"/>
            <w:vAlign w:val="center"/>
          </w:tcPr>
          <w:p w14:paraId="71C60584">
            <w:pPr>
              <w:widowControl/>
              <w:jc w:val="center"/>
              <w:rPr>
                <w:rFonts w:ascii="宋体" w:hAnsi="宋体" w:cs="宋体"/>
                <w:color w:val="000000"/>
                <w:kern w:val="0"/>
                <w:szCs w:val="21"/>
              </w:rPr>
            </w:pPr>
            <w:r>
              <w:rPr>
                <w:rFonts w:hint="eastAsia" w:ascii="宋体" w:hAnsi="宋体" w:cs="宋体"/>
                <w:color w:val="000000"/>
                <w:kern w:val="0"/>
                <w:szCs w:val="21"/>
              </w:rPr>
              <w:t>项目管理</w:t>
            </w:r>
          </w:p>
        </w:tc>
        <w:tc>
          <w:tcPr>
            <w:tcW w:w="469" w:type="pct"/>
            <w:shd w:val="clear" w:color="auto" w:fill="auto"/>
            <w:vAlign w:val="center"/>
          </w:tcPr>
          <w:p w14:paraId="49484D07">
            <w:pPr>
              <w:widowControl/>
              <w:jc w:val="center"/>
              <w:rPr>
                <w:rFonts w:ascii="宋体" w:hAnsi="宋体" w:cs="宋体"/>
                <w:color w:val="000000"/>
                <w:kern w:val="0"/>
                <w:szCs w:val="21"/>
              </w:rPr>
            </w:pPr>
            <w:r>
              <w:rPr>
                <w:rFonts w:hint="eastAsia" w:ascii="宋体" w:hAnsi="宋体" w:cs="宋体"/>
                <w:color w:val="000000"/>
                <w:kern w:val="0"/>
                <w:szCs w:val="21"/>
              </w:rPr>
              <w:t>项目管理服务</w:t>
            </w:r>
          </w:p>
        </w:tc>
        <w:tc>
          <w:tcPr>
            <w:tcW w:w="2191" w:type="pct"/>
            <w:shd w:val="clear" w:color="auto" w:fill="auto"/>
            <w:vAlign w:val="center"/>
          </w:tcPr>
          <w:p w14:paraId="19087A12">
            <w:pPr>
              <w:widowControl/>
              <w:rPr>
                <w:rFonts w:ascii="宋体" w:hAnsi="宋体" w:cs="宋体"/>
                <w:color w:val="000000"/>
                <w:kern w:val="0"/>
                <w:szCs w:val="21"/>
              </w:rPr>
            </w:pPr>
            <w:r>
              <w:rPr>
                <w:rFonts w:hint="eastAsia" w:ascii="宋体" w:hAnsi="宋体" w:cs="宋体"/>
                <w:color w:val="000000"/>
                <w:kern w:val="0"/>
                <w:szCs w:val="21"/>
              </w:rPr>
              <w:t>组织项目资源、把控项目质量、跟踪项目进度，每季度完成季度总结汇报等。同时对接招标人各业务部门，以及院外业务系统、等保测评机构、监管机构等。</w:t>
            </w:r>
          </w:p>
        </w:tc>
        <w:tc>
          <w:tcPr>
            <w:tcW w:w="289" w:type="pct"/>
            <w:vMerge w:val="continue"/>
            <w:vAlign w:val="center"/>
          </w:tcPr>
          <w:p w14:paraId="05CD2F4E">
            <w:pPr>
              <w:widowControl/>
              <w:jc w:val="left"/>
              <w:rPr>
                <w:rFonts w:ascii="宋体" w:hAnsi="宋体" w:cs="宋体"/>
                <w:color w:val="000000"/>
                <w:kern w:val="0"/>
                <w:szCs w:val="21"/>
              </w:rPr>
            </w:pPr>
          </w:p>
        </w:tc>
        <w:tc>
          <w:tcPr>
            <w:tcW w:w="217" w:type="pct"/>
            <w:vMerge w:val="continue"/>
            <w:vAlign w:val="center"/>
          </w:tcPr>
          <w:p w14:paraId="5F4A9F3E">
            <w:pPr>
              <w:widowControl/>
              <w:jc w:val="left"/>
              <w:rPr>
                <w:rFonts w:ascii="宋体" w:hAnsi="宋体" w:cs="宋体"/>
                <w:color w:val="000000"/>
                <w:kern w:val="0"/>
                <w:szCs w:val="21"/>
              </w:rPr>
            </w:pPr>
          </w:p>
        </w:tc>
        <w:tc>
          <w:tcPr>
            <w:tcW w:w="797" w:type="pct"/>
            <w:shd w:val="clear" w:color="auto" w:fill="auto"/>
            <w:vAlign w:val="center"/>
          </w:tcPr>
          <w:p w14:paraId="3E9586F5">
            <w:pPr>
              <w:widowControl/>
              <w:jc w:val="center"/>
              <w:rPr>
                <w:rFonts w:ascii="宋体" w:hAnsi="宋体" w:cs="宋体"/>
                <w:color w:val="000000"/>
                <w:kern w:val="0"/>
                <w:szCs w:val="21"/>
              </w:rPr>
            </w:pPr>
            <w:r>
              <w:rPr>
                <w:rFonts w:hint="eastAsia" w:ascii="宋体" w:hAnsi="宋体" w:cs="宋体"/>
                <w:color w:val="000000"/>
                <w:kern w:val="0"/>
                <w:szCs w:val="21"/>
              </w:rPr>
              <w:t>每季度末提供1份《项目总结报告》</w:t>
            </w:r>
          </w:p>
        </w:tc>
      </w:tr>
      <w:tr w14:paraId="3C75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72" w:type="pct"/>
            <w:shd w:val="clear" w:color="auto" w:fill="auto"/>
            <w:vAlign w:val="center"/>
          </w:tcPr>
          <w:p w14:paraId="13E8E808">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350" w:type="pct"/>
            <w:vMerge w:val="continue"/>
            <w:vAlign w:val="center"/>
          </w:tcPr>
          <w:p w14:paraId="1D751768">
            <w:pPr>
              <w:widowControl/>
              <w:jc w:val="left"/>
              <w:rPr>
                <w:rFonts w:ascii="宋体" w:hAnsi="宋体" w:cs="宋体"/>
                <w:color w:val="000000"/>
                <w:kern w:val="0"/>
                <w:szCs w:val="21"/>
              </w:rPr>
            </w:pPr>
          </w:p>
        </w:tc>
        <w:tc>
          <w:tcPr>
            <w:tcW w:w="415" w:type="pct"/>
            <w:shd w:val="clear" w:color="auto" w:fill="auto"/>
            <w:vAlign w:val="center"/>
          </w:tcPr>
          <w:p w14:paraId="2A95ADAC">
            <w:pPr>
              <w:widowControl/>
              <w:jc w:val="center"/>
              <w:rPr>
                <w:rFonts w:ascii="宋体" w:hAnsi="宋体" w:cs="宋体"/>
                <w:color w:val="000000"/>
                <w:kern w:val="0"/>
                <w:szCs w:val="21"/>
              </w:rPr>
            </w:pPr>
            <w:r>
              <w:rPr>
                <w:rFonts w:hint="eastAsia" w:ascii="宋体" w:hAnsi="宋体" w:cs="宋体"/>
                <w:color w:val="000000"/>
                <w:kern w:val="0"/>
                <w:szCs w:val="21"/>
              </w:rPr>
              <w:t>安全管理制度</w:t>
            </w:r>
          </w:p>
        </w:tc>
        <w:tc>
          <w:tcPr>
            <w:tcW w:w="469" w:type="pct"/>
            <w:shd w:val="clear" w:color="auto" w:fill="auto"/>
            <w:vAlign w:val="center"/>
          </w:tcPr>
          <w:p w14:paraId="3F3B766A">
            <w:pPr>
              <w:widowControl/>
              <w:jc w:val="center"/>
              <w:rPr>
                <w:rFonts w:ascii="宋体" w:hAnsi="宋体" w:cs="宋体"/>
                <w:color w:val="000000"/>
                <w:kern w:val="0"/>
                <w:szCs w:val="21"/>
              </w:rPr>
            </w:pPr>
            <w:r>
              <w:rPr>
                <w:rFonts w:hint="eastAsia" w:ascii="宋体" w:hAnsi="宋体" w:cs="宋体"/>
                <w:color w:val="000000"/>
                <w:kern w:val="0"/>
                <w:szCs w:val="21"/>
              </w:rPr>
              <w:t>安全管理制度服务</w:t>
            </w:r>
          </w:p>
        </w:tc>
        <w:tc>
          <w:tcPr>
            <w:tcW w:w="2191" w:type="pct"/>
            <w:shd w:val="clear" w:color="auto" w:fill="auto"/>
            <w:vAlign w:val="center"/>
          </w:tcPr>
          <w:p w14:paraId="50F70B60">
            <w:pPr>
              <w:widowControl/>
              <w:rPr>
                <w:rFonts w:ascii="宋体" w:hAnsi="宋体" w:cs="宋体"/>
                <w:color w:val="000000"/>
                <w:kern w:val="0"/>
                <w:szCs w:val="21"/>
              </w:rPr>
            </w:pPr>
            <w:r>
              <w:rPr>
                <w:rFonts w:hint="eastAsia" w:ascii="宋体" w:hAnsi="宋体" w:cs="宋体"/>
                <w:color w:val="000000"/>
                <w:kern w:val="0"/>
                <w:szCs w:val="21"/>
              </w:rPr>
              <w:t>结合新的政策要求以及招标人的具体需求，动态补充安全管理制度，并与原有制度相融合，安全管理制度的建设需要覆盖安全方针、管理办法、实施规范、记录表单等多级安全管理制度文件，指导全集化安全工作的实施及优化。</w:t>
            </w:r>
          </w:p>
        </w:tc>
        <w:tc>
          <w:tcPr>
            <w:tcW w:w="289" w:type="pct"/>
            <w:vMerge w:val="continue"/>
            <w:vAlign w:val="center"/>
          </w:tcPr>
          <w:p w14:paraId="23EA01C0">
            <w:pPr>
              <w:widowControl/>
              <w:jc w:val="left"/>
              <w:rPr>
                <w:rFonts w:ascii="宋体" w:hAnsi="宋体" w:cs="宋体"/>
                <w:color w:val="000000"/>
                <w:kern w:val="0"/>
                <w:szCs w:val="21"/>
              </w:rPr>
            </w:pPr>
          </w:p>
        </w:tc>
        <w:tc>
          <w:tcPr>
            <w:tcW w:w="217" w:type="pct"/>
            <w:vMerge w:val="continue"/>
            <w:vAlign w:val="center"/>
          </w:tcPr>
          <w:p w14:paraId="1991A7EC">
            <w:pPr>
              <w:widowControl/>
              <w:jc w:val="left"/>
              <w:rPr>
                <w:rFonts w:ascii="宋体" w:hAnsi="宋体" w:cs="宋体"/>
                <w:color w:val="000000"/>
                <w:kern w:val="0"/>
                <w:szCs w:val="21"/>
              </w:rPr>
            </w:pPr>
          </w:p>
        </w:tc>
        <w:tc>
          <w:tcPr>
            <w:tcW w:w="797" w:type="pct"/>
            <w:shd w:val="clear" w:color="auto" w:fill="auto"/>
            <w:vAlign w:val="center"/>
          </w:tcPr>
          <w:p w14:paraId="2E3AC4B1">
            <w:pPr>
              <w:widowControl/>
              <w:jc w:val="center"/>
              <w:rPr>
                <w:rFonts w:ascii="宋体" w:hAnsi="宋体" w:cs="宋体"/>
                <w:color w:val="000000"/>
                <w:kern w:val="0"/>
                <w:szCs w:val="21"/>
              </w:rPr>
            </w:pPr>
            <w:r>
              <w:rPr>
                <w:rFonts w:hint="eastAsia" w:ascii="宋体" w:hAnsi="宋体" w:cs="宋体"/>
                <w:color w:val="000000"/>
                <w:kern w:val="0"/>
                <w:szCs w:val="21"/>
              </w:rPr>
              <w:t>每年根据新政策及招标人要求提供1份《安全管理制度》</w:t>
            </w:r>
          </w:p>
        </w:tc>
      </w:tr>
      <w:tr w14:paraId="57A7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2" w:type="pct"/>
            <w:shd w:val="clear" w:color="auto" w:fill="auto"/>
            <w:vAlign w:val="center"/>
          </w:tcPr>
          <w:p w14:paraId="3A648DEF">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350" w:type="pct"/>
            <w:vMerge w:val="continue"/>
            <w:vAlign w:val="center"/>
          </w:tcPr>
          <w:p w14:paraId="028CC63C">
            <w:pPr>
              <w:widowControl/>
              <w:jc w:val="left"/>
              <w:rPr>
                <w:rFonts w:ascii="宋体" w:hAnsi="宋体" w:cs="宋体"/>
                <w:color w:val="000000"/>
                <w:kern w:val="0"/>
                <w:szCs w:val="21"/>
              </w:rPr>
            </w:pPr>
          </w:p>
        </w:tc>
        <w:tc>
          <w:tcPr>
            <w:tcW w:w="415" w:type="pct"/>
            <w:shd w:val="clear" w:color="auto" w:fill="auto"/>
            <w:vAlign w:val="center"/>
          </w:tcPr>
          <w:p w14:paraId="5FE4884E">
            <w:pPr>
              <w:widowControl/>
              <w:jc w:val="center"/>
              <w:rPr>
                <w:rFonts w:ascii="宋体" w:hAnsi="宋体" w:cs="宋体"/>
                <w:color w:val="000000"/>
                <w:kern w:val="0"/>
                <w:szCs w:val="21"/>
              </w:rPr>
            </w:pPr>
            <w:r>
              <w:rPr>
                <w:rFonts w:hint="eastAsia" w:ascii="宋体" w:hAnsi="宋体" w:cs="宋体"/>
                <w:color w:val="000000"/>
                <w:kern w:val="0"/>
                <w:szCs w:val="21"/>
              </w:rPr>
              <w:t>等保2.0</w:t>
            </w:r>
          </w:p>
        </w:tc>
        <w:tc>
          <w:tcPr>
            <w:tcW w:w="469" w:type="pct"/>
            <w:shd w:val="clear" w:color="auto" w:fill="auto"/>
            <w:vAlign w:val="center"/>
          </w:tcPr>
          <w:p w14:paraId="5810561B">
            <w:pPr>
              <w:widowControl/>
              <w:jc w:val="center"/>
              <w:rPr>
                <w:rFonts w:ascii="宋体" w:hAnsi="宋体" w:cs="宋体"/>
                <w:color w:val="000000"/>
                <w:kern w:val="0"/>
                <w:szCs w:val="21"/>
              </w:rPr>
            </w:pPr>
            <w:r>
              <w:rPr>
                <w:rFonts w:hint="eastAsia" w:ascii="宋体" w:hAnsi="宋体" w:cs="宋体"/>
                <w:color w:val="000000"/>
                <w:kern w:val="0"/>
                <w:szCs w:val="21"/>
              </w:rPr>
              <w:t>等保2.0建设服务</w:t>
            </w:r>
          </w:p>
        </w:tc>
        <w:tc>
          <w:tcPr>
            <w:tcW w:w="2191" w:type="pct"/>
            <w:shd w:val="clear" w:color="auto" w:fill="auto"/>
            <w:vAlign w:val="center"/>
          </w:tcPr>
          <w:p w14:paraId="0D661CF7">
            <w:pPr>
              <w:widowControl/>
              <w:rPr>
                <w:rFonts w:ascii="宋体" w:hAnsi="宋体" w:cs="宋体"/>
                <w:color w:val="000000"/>
                <w:kern w:val="0"/>
                <w:szCs w:val="21"/>
              </w:rPr>
            </w:pPr>
            <w:r>
              <w:rPr>
                <w:rFonts w:hint="eastAsia" w:ascii="宋体" w:hAnsi="宋体" w:cs="宋体"/>
                <w:color w:val="000000"/>
                <w:kern w:val="0"/>
                <w:szCs w:val="21"/>
              </w:rPr>
              <w:t>在提供设备的基础上，提供等保咨询人员，保障招标人安全技术水平满足等保要求，通过顺利等保测评。</w:t>
            </w:r>
          </w:p>
        </w:tc>
        <w:tc>
          <w:tcPr>
            <w:tcW w:w="289" w:type="pct"/>
            <w:vMerge w:val="continue"/>
            <w:vAlign w:val="center"/>
          </w:tcPr>
          <w:p w14:paraId="03D7D510">
            <w:pPr>
              <w:widowControl/>
              <w:jc w:val="left"/>
              <w:rPr>
                <w:rFonts w:ascii="宋体" w:hAnsi="宋体" w:cs="宋体"/>
                <w:color w:val="000000"/>
                <w:kern w:val="0"/>
                <w:szCs w:val="21"/>
              </w:rPr>
            </w:pPr>
          </w:p>
        </w:tc>
        <w:tc>
          <w:tcPr>
            <w:tcW w:w="217" w:type="pct"/>
            <w:vMerge w:val="continue"/>
            <w:vAlign w:val="center"/>
          </w:tcPr>
          <w:p w14:paraId="58C7F61B">
            <w:pPr>
              <w:widowControl/>
              <w:jc w:val="left"/>
              <w:rPr>
                <w:rFonts w:ascii="宋体" w:hAnsi="宋体" w:cs="宋体"/>
                <w:color w:val="000000"/>
                <w:kern w:val="0"/>
                <w:szCs w:val="21"/>
              </w:rPr>
            </w:pPr>
          </w:p>
        </w:tc>
        <w:tc>
          <w:tcPr>
            <w:tcW w:w="797" w:type="pct"/>
            <w:shd w:val="clear" w:color="auto" w:fill="auto"/>
            <w:vAlign w:val="center"/>
          </w:tcPr>
          <w:p w14:paraId="7A9ABED3">
            <w:pPr>
              <w:widowControl/>
              <w:jc w:val="center"/>
              <w:rPr>
                <w:rFonts w:ascii="宋体" w:hAnsi="宋体" w:cs="宋体"/>
                <w:color w:val="000000"/>
                <w:kern w:val="0"/>
                <w:szCs w:val="21"/>
              </w:rPr>
            </w:pPr>
            <w:r>
              <w:rPr>
                <w:rFonts w:hint="eastAsia" w:ascii="宋体" w:hAnsi="宋体" w:cs="宋体"/>
                <w:color w:val="000000"/>
                <w:kern w:val="0"/>
                <w:szCs w:val="21"/>
              </w:rPr>
              <w:t>每年等保测评前提供1份《等保差距分析报告及整改方案》</w:t>
            </w:r>
          </w:p>
        </w:tc>
      </w:tr>
      <w:tr w14:paraId="5F00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72" w:type="pct"/>
            <w:shd w:val="clear" w:color="auto" w:fill="auto"/>
            <w:vAlign w:val="center"/>
          </w:tcPr>
          <w:p w14:paraId="0758022D">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350" w:type="pct"/>
            <w:vMerge w:val="continue"/>
            <w:vAlign w:val="center"/>
          </w:tcPr>
          <w:p w14:paraId="75FA43A3">
            <w:pPr>
              <w:widowControl/>
              <w:jc w:val="left"/>
              <w:rPr>
                <w:rFonts w:ascii="宋体" w:hAnsi="宋体" w:cs="宋体"/>
                <w:color w:val="000000"/>
                <w:kern w:val="0"/>
                <w:szCs w:val="21"/>
              </w:rPr>
            </w:pPr>
          </w:p>
        </w:tc>
        <w:tc>
          <w:tcPr>
            <w:tcW w:w="415" w:type="pct"/>
            <w:shd w:val="clear" w:color="auto" w:fill="auto"/>
            <w:vAlign w:val="center"/>
          </w:tcPr>
          <w:p w14:paraId="0D9B422D">
            <w:pPr>
              <w:widowControl/>
              <w:jc w:val="center"/>
              <w:rPr>
                <w:rFonts w:ascii="宋体" w:hAnsi="宋体" w:cs="宋体"/>
                <w:color w:val="000000"/>
                <w:kern w:val="0"/>
                <w:szCs w:val="21"/>
              </w:rPr>
            </w:pPr>
            <w:r>
              <w:rPr>
                <w:rFonts w:hint="eastAsia" w:ascii="宋体" w:hAnsi="宋体" w:cs="宋体"/>
                <w:color w:val="000000"/>
                <w:kern w:val="0"/>
                <w:szCs w:val="21"/>
              </w:rPr>
              <w:t>能力成熟度</w:t>
            </w:r>
          </w:p>
        </w:tc>
        <w:tc>
          <w:tcPr>
            <w:tcW w:w="469" w:type="pct"/>
            <w:shd w:val="clear" w:color="auto" w:fill="auto"/>
            <w:vAlign w:val="center"/>
          </w:tcPr>
          <w:p w14:paraId="0D586D7C">
            <w:pPr>
              <w:widowControl/>
              <w:jc w:val="center"/>
              <w:rPr>
                <w:rFonts w:ascii="宋体" w:hAnsi="宋体" w:cs="宋体"/>
                <w:color w:val="000000"/>
                <w:kern w:val="0"/>
                <w:szCs w:val="21"/>
              </w:rPr>
            </w:pPr>
            <w:r>
              <w:rPr>
                <w:rFonts w:hint="eastAsia" w:ascii="宋体" w:hAnsi="宋体" w:cs="宋体"/>
                <w:color w:val="000000"/>
                <w:kern w:val="0"/>
                <w:szCs w:val="21"/>
              </w:rPr>
              <w:t>能力成熟度评估及优化</w:t>
            </w:r>
          </w:p>
        </w:tc>
        <w:tc>
          <w:tcPr>
            <w:tcW w:w="2191" w:type="pct"/>
            <w:shd w:val="clear" w:color="auto" w:fill="auto"/>
            <w:vAlign w:val="center"/>
          </w:tcPr>
          <w:p w14:paraId="2CE8E5C9">
            <w:pPr>
              <w:widowControl/>
              <w:rPr>
                <w:rFonts w:ascii="宋体" w:hAnsi="宋体" w:cs="宋体"/>
                <w:color w:val="000000"/>
                <w:kern w:val="0"/>
                <w:szCs w:val="21"/>
              </w:rPr>
            </w:pPr>
            <w:r>
              <w:rPr>
                <w:rFonts w:hint="eastAsia" w:ascii="宋体" w:hAnsi="宋体" w:cs="宋体"/>
                <w:color w:val="000000"/>
                <w:kern w:val="0"/>
                <w:szCs w:val="21"/>
              </w:rPr>
              <w:t>为了确保服务质量，每年开展一次安全能力成熟度评估及优化工作，提供安全能力评估、安全流程优化、安全制度优化、安全工具优化和运营人员优化等服务。</w:t>
            </w:r>
          </w:p>
        </w:tc>
        <w:tc>
          <w:tcPr>
            <w:tcW w:w="289" w:type="pct"/>
            <w:vMerge w:val="continue"/>
            <w:vAlign w:val="center"/>
          </w:tcPr>
          <w:p w14:paraId="3120870B">
            <w:pPr>
              <w:widowControl/>
              <w:jc w:val="left"/>
              <w:rPr>
                <w:rFonts w:ascii="宋体" w:hAnsi="宋体" w:cs="宋体"/>
                <w:color w:val="000000"/>
                <w:kern w:val="0"/>
                <w:szCs w:val="21"/>
              </w:rPr>
            </w:pPr>
          </w:p>
        </w:tc>
        <w:tc>
          <w:tcPr>
            <w:tcW w:w="217" w:type="pct"/>
            <w:vMerge w:val="continue"/>
            <w:vAlign w:val="center"/>
          </w:tcPr>
          <w:p w14:paraId="07D64EDD">
            <w:pPr>
              <w:widowControl/>
              <w:jc w:val="left"/>
              <w:rPr>
                <w:rFonts w:ascii="宋体" w:hAnsi="宋体" w:cs="宋体"/>
                <w:color w:val="000000"/>
                <w:kern w:val="0"/>
                <w:szCs w:val="21"/>
              </w:rPr>
            </w:pPr>
          </w:p>
        </w:tc>
        <w:tc>
          <w:tcPr>
            <w:tcW w:w="797" w:type="pct"/>
            <w:shd w:val="clear" w:color="auto" w:fill="auto"/>
            <w:vAlign w:val="center"/>
          </w:tcPr>
          <w:p w14:paraId="0E9C21DC">
            <w:pPr>
              <w:widowControl/>
              <w:jc w:val="center"/>
              <w:rPr>
                <w:rFonts w:ascii="宋体" w:hAnsi="宋体" w:cs="宋体"/>
                <w:color w:val="000000"/>
                <w:kern w:val="0"/>
                <w:szCs w:val="21"/>
              </w:rPr>
            </w:pPr>
            <w:r>
              <w:rPr>
                <w:rFonts w:hint="eastAsia" w:ascii="宋体" w:hAnsi="宋体" w:cs="宋体"/>
                <w:color w:val="000000"/>
                <w:kern w:val="0"/>
                <w:szCs w:val="21"/>
              </w:rPr>
              <w:t>每年度完成能力评估工作后3个工作日提供1份《能力成熟度评估及优化方案》</w:t>
            </w:r>
          </w:p>
        </w:tc>
      </w:tr>
      <w:tr w14:paraId="3CAD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72" w:type="pct"/>
            <w:shd w:val="clear" w:color="auto" w:fill="auto"/>
            <w:vAlign w:val="center"/>
          </w:tcPr>
          <w:p w14:paraId="65E58782">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350" w:type="pct"/>
            <w:vMerge w:val="continue"/>
            <w:vAlign w:val="center"/>
          </w:tcPr>
          <w:p w14:paraId="16FD4AAC">
            <w:pPr>
              <w:widowControl/>
              <w:jc w:val="left"/>
              <w:rPr>
                <w:rFonts w:ascii="宋体" w:hAnsi="宋体" w:cs="宋体"/>
                <w:color w:val="000000"/>
                <w:kern w:val="0"/>
                <w:szCs w:val="21"/>
              </w:rPr>
            </w:pPr>
          </w:p>
        </w:tc>
        <w:tc>
          <w:tcPr>
            <w:tcW w:w="415" w:type="pct"/>
            <w:shd w:val="clear" w:color="auto" w:fill="auto"/>
            <w:vAlign w:val="center"/>
          </w:tcPr>
          <w:p w14:paraId="2C2F0890">
            <w:pPr>
              <w:widowControl/>
              <w:jc w:val="center"/>
              <w:rPr>
                <w:rFonts w:ascii="宋体" w:hAnsi="宋体" w:cs="宋体"/>
                <w:color w:val="000000"/>
                <w:kern w:val="0"/>
                <w:szCs w:val="21"/>
              </w:rPr>
            </w:pPr>
            <w:r>
              <w:rPr>
                <w:rFonts w:hint="eastAsia" w:ascii="宋体" w:hAnsi="宋体" w:cs="宋体"/>
                <w:color w:val="000000"/>
                <w:kern w:val="0"/>
                <w:szCs w:val="21"/>
              </w:rPr>
              <w:t>重保服务</w:t>
            </w:r>
          </w:p>
        </w:tc>
        <w:tc>
          <w:tcPr>
            <w:tcW w:w="469" w:type="pct"/>
            <w:shd w:val="clear" w:color="auto" w:fill="auto"/>
            <w:vAlign w:val="center"/>
          </w:tcPr>
          <w:p w14:paraId="30412AEC">
            <w:pPr>
              <w:widowControl/>
              <w:jc w:val="center"/>
              <w:rPr>
                <w:rFonts w:ascii="宋体" w:hAnsi="宋体" w:cs="宋体"/>
                <w:color w:val="000000"/>
                <w:kern w:val="0"/>
                <w:szCs w:val="21"/>
              </w:rPr>
            </w:pPr>
            <w:r>
              <w:rPr>
                <w:rFonts w:hint="eastAsia" w:ascii="宋体" w:hAnsi="宋体" w:cs="宋体"/>
                <w:color w:val="000000"/>
                <w:kern w:val="0"/>
                <w:szCs w:val="21"/>
              </w:rPr>
              <w:t>重要时期安全保障服务</w:t>
            </w:r>
          </w:p>
        </w:tc>
        <w:tc>
          <w:tcPr>
            <w:tcW w:w="2191" w:type="pct"/>
            <w:shd w:val="clear" w:color="auto" w:fill="auto"/>
            <w:vAlign w:val="center"/>
          </w:tcPr>
          <w:p w14:paraId="63EC0D1D">
            <w:pPr>
              <w:widowControl/>
              <w:rPr>
                <w:rFonts w:ascii="宋体" w:hAnsi="宋体" w:cs="宋体"/>
                <w:color w:val="000000"/>
                <w:kern w:val="0"/>
                <w:szCs w:val="21"/>
              </w:rPr>
            </w:pPr>
            <w:r>
              <w:rPr>
                <w:rFonts w:hint="eastAsia" w:ascii="宋体" w:hAnsi="宋体" w:cs="宋体"/>
                <w:color w:val="000000"/>
                <w:kern w:val="0"/>
                <w:szCs w:val="21"/>
              </w:rPr>
              <w:t>在攻防演习、春节、两会、国庆及发生安全事件等重要时期提供安全值守保障及应急响应服务。</w:t>
            </w:r>
          </w:p>
        </w:tc>
        <w:tc>
          <w:tcPr>
            <w:tcW w:w="289" w:type="pct"/>
            <w:vMerge w:val="continue"/>
            <w:vAlign w:val="center"/>
          </w:tcPr>
          <w:p w14:paraId="494E3C57">
            <w:pPr>
              <w:widowControl/>
              <w:jc w:val="left"/>
              <w:rPr>
                <w:rFonts w:ascii="宋体" w:hAnsi="宋体" w:cs="宋体"/>
                <w:color w:val="000000"/>
                <w:kern w:val="0"/>
                <w:szCs w:val="21"/>
              </w:rPr>
            </w:pPr>
          </w:p>
        </w:tc>
        <w:tc>
          <w:tcPr>
            <w:tcW w:w="217" w:type="pct"/>
            <w:vMerge w:val="continue"/>
            <w:vAlign w:val="center"/>
          </w:tcPr>
          <w:p w14:paraId="716DC03E">
            <w:pPr>
              <w:widowControl/>
              <w:jc w:val="left"/>
              <w:rPr>
                <w:rFonts w:ascii="宋体" w:hAnsi="宋体" w:cs="宋体"/>
                <w:color w:val="000000"/>
                <w:kern w:val="0"/>
                <w:szCs w:val="21"/>
              </w:rPr>
            </w:pPr>
          </w:p>
        </w:tc>
        <w:tc>
          <w:tcPr>
            <w:tcW w:w="797" w:type="pct"/>
            <w:shd w:val="clear" w:color="auto" w:fill="auto"/>
            <w:vAlign w:val="center"/>
          </w:tcPr>
          <w:p w14:paraId="2A824FFB">
            <w:pPr>
              <w:widowControl/>
              <w:jc w:val="center"/>
              <w:rPr>
                <w:rFonts w:ascii="宋体" w:hAnsi="宋体" w:cs="宋体"/>
                <w:color w:val="000000"/>
                <w:kern w:val="0"/>
                <w:szCs w:val="21"/>
              </w:rPr>
            </w:pPr>
            <w:r>
              <w:rPr>
                <w:rFonts w:hint="eastAsia" w:ascii="宋体" w:hAnsi="宋体" w:cs="宋体"/>
                <w:color w:val="000000"/>
                <w:kern w:val="0"/>
                <w:szCs w:val="21"/>
              </w:rPr>
              <w:t>每年重保期间安排2人值守并提供1份《重保服务方案》</w:t>
            </w:r>
          </w:p>
        </w:tc>
      </w:tr>
      <w:tr w14:paraId="4285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72" w:type="pct"/>
            <w:shd w:val="clear" w:color="auto" w:fill="auto"/>
            <w:vAlign w:val="center"/>
          </w:tcPr>
          <w:p w14:paraId="512AEE0D">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350" w:type="pct"/>
            <w:vMerge w:val="continue"/>
            <w:vAlign w:val="center"/>
          </w:tcPr>
          <w:p w14:paraId="0D440C79">
            <w:pPr>
              <w:widowControl/>
              <w:jc w:val="left"/>
              <w:rPr>
                <w:rFonts w:ascii="宋体" w:hAnsi="宋体" w:cs="宋体"/>
                <w:color w:val="000000"/>
                <w:kern w:val="0"/>
                <w:szCs w:val="21"/>
              </w:rPr>
            </w:pPr>
          </w:p>
        </w:tc>
        <w:tc>
          <w:tcPr>
            <w:tcW w:w="415" w:type="pct"/>
            <w:shd w:val="clear" w:color="auto" w:fill="auto"/>
            <w:vAlign w:val="center"/>
          </w:tcPr>
          <w:p w14:paraId="481C0404">
            <w:pPr>
              <w:widowControl/>
              <w:jc w:val="center"/>
              <w:rPr>
                <w:rFonts w:ascii="宋体" w:hAnsi="宋体" w:cs="宋体"/>
                <w:color w:val="000000"/>
                <w:kern w:val="0"/>
                <w:szCs w:val="21"/>
              </w:rPr>
            </w:pPr>
            <w:r>
              <w:rPr>
                <w:rFonts w:hint="eastAsia" w:ascii="宋体" w:hAnsi="宋体" w:cs="宋体"/>
                <w:color w:val="000000"/>
                <w:kern w:val="0"/>
                <w:szCs w:val="21"/>
              </w:rPr>
              <w:t>风险评估</w:t>
            </w:r>
          </w:p>
        </w:tc>
        <w:tc>
          <w:tcPr>
            <w:tcW w:w="469" w:type="pct"/>
            <w:shd w:val="clear" w:color="auto" w:fill="auto"/>
            <w:vAlign w:val="center"/>
          </w:tcPr>
          <w:p w14:paraId="500D9267">
            <w:pPr>
              <w:widowControl/>
              <w:jc w:val="center"/>
              <w:rPr>
                <w:rFonts w:ascii="宋体" w:hAnsi="宋体" w:cs="宋体"/>
                <w:color w:val="000000"/>
                <w:kern w:val="0"/>
                <w:szCs w:val="21"/>
              </w:rPr>
            </w:pPr>
            <w:r>
              <w:rPr>
                <w:rFonts w:hint="eastAsia" w:ascii="宋体" w:hAnsi="宋体" w:cs="宋体"/>
                <w:color w:val="000000"/>
                <w:kern w:val="0"/>
                <w:szCs w:val="21"/>
              </w:rPr>
              <w:t>安全风险评估服务</w:t>
            </w:r>
          </w:p>
        </w:tc>
        <w:tc>
          <w:tcPr>
            <w:tcW w:w="2191" w:type="pct"/>
            <w:shd w:val="clear" w:color="auto" w:fill="auto"/>
            <w:vAlign w:val="center"/>
          </w:tcPr>
          <w:p w14:paraId="3029C2CB">
            <w:pPr>
              <w:widowControl/>
              <w:rPr>
                <w:rFonts w:ascii="宋体" w:hAnsi="宋体" w:cs="宋体"/>
                <w:color w:val="000000"/>
                <w:kern w:val="0"/>
                <w:szCs w:val="21"/>
              </w:rPr>
            </w:pPr>
            <w:r>
              <w:rPr>
                <w:rFonts w:hint="eastAsia" w:ascii="宋体" w:hAnsi="宋体" w:cs="宋体"/>
                <w:color w:val="000000"/>
                <w:kern w:val="0"/>
                <w:szCs w:val="21"/>
              </w:rPr>
              <w:t>每年开展1次系统性的信息安全评估，全面识别、评估和量化招标人面临的潜在威胁、漏洞和可能带来的负面影响，并支撑招标人有针对性的采取安全措施和策略，以减小风险的发生概率和影响程度，从而确保招标人信息系统的安全稳定运行。</w:t>
            </w:r>
          </w:p>
        </w:tc>
        <w:tc>
          <w:tcPr>
            <w:tcW w:w="289" w:type="pct"/>
            <w:vMerge w:val="continue"/>
            <w:vAlign w:val="center"/>
          </w:tcPr>
          <w:p w14:paraId="6557B2B7">
            <w:pPr>
              <w:widowControl/>
              <w:jc w:val="left"/>
              <w:rPr>
                <w:rFonts w:ascii="宋体" w:hAnsi="宋体" w:cs="宋体"/>
                <w:color w:val="000000"/>
                <w:kern w:val="0"/>
                <w:szCs w:val="21"/>
              </w:rPr>
            </w:pPr>
          </w:p>
        </w:tc>
        <w:tc>
          <w:tcPr>
            <w:tcW w:w="217" w:type="pct"/>
            <w:vMerge w:val="continue"/>
            <w:vAlign w:val="center"/>
          </w:tcPr>
          <w:p w14:paraId="4B3A9853">
            <w:pPr>
              <w:widowControl/>
              <w:jc w:val="left"/>
              <w:rPr>
                <w:rFonts w:ascii="宋体" w:hAnsi="宋体" w:cs="宋体"/>
                <w:color w:val="000000"/>
                <w:kern w:val="0"/>
                <w:szCs w:val="21"/>
              </w:rPr>
            </w:pPr>
          </w:p>
        </w:tc>
        <w:tc>
          <w:tcPr>
            <w:tcW w:w="797" w:type="pct"/>
            <w:shd w:val="clear" w:color="auto" w:fill="auto"/>
            <w:vAlign w:val="center"/>
          </w:tcPr>
          <w:p w14:paraId="07F1503D">
            <w:pPr>
              <w:widowControl/>
              <w:jc w:val="center"/>
              <w:rPr>
                <w:rFonts w:ascii="宋体" w:hAnsi="宋体" w:cs="宋体"/>
                <w:color w:val="000000"/>
                <w:kern w:val="0"/>
                <w:szCs w:val="21"/>
              </w:rPr>
            </w:pPr>
            <w:r>
              <w:rPr>
                <w:rFonts w:hint="eastAsia" w:ascii="宋体" w:hAnsi="宋体" w:cs="宋体"/>
                <w:color w:val="000000"/>
                <w:kern w:val="0"/>
                <w:szCs w:val="21"/>
              </w:rPr>
              <w:t>每年开展安全风险评估后3个工作日内提供1份《安全风险评估报告》并提出相应整改建议</w:t>
            </w:r>
          </w:p>
        </w:tc>
      </w:tr>
      <w:tr w14:paraId="63B3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72" w:type="pct"/>
            <w:shd w:val="clear" w:color="auto" w:fill="auto"/>
            <w:vAlign w:val="center"/>
          </w:tcPr>
          <w:p w14:paraId="67A8C552">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350" w:type="pct"/>
            <w:vMerge w:val="continue"/>
            <w:vAlign w:val="center"/>
          </w:tcPr>
          <w:p w14:paraId="5A19ACAB">
            <w:pPr>
              <w:widowControl/>
              <w:jc w:val="left"/>
              <w:rPr>
                <w:rFonts w:ascii="宋体" w:hAnsi="宋体" w:cs="宋体"/>
                <w:color w:val="000000"/>
                <w:kern w:val="0"/>
                <w:szCs w:val="21"/>
              </w:rPr>
            </w:pPr>
          </w:p>
        </w:tc>
        <w:tc>
          <w:tcPr>
            <w:tcW w:w="415" w:type="pct"/>
            <w:shd w:val="clear" w:color="auto" w:fill="auto"/>
            <w:vAlign w:val="center"/>
          </w:tcPr>
          <w:p w14:paraId="0D213CC5">
            <w:pPr>
              <w:widowControl/>
              <w:jc w:val="center"/>
              <w:rPr>
                <w:rFonts w:ascii="宋体" w:hAnsi="宋体" w:cs="宋体"/>
                <w:color w:val="000000"/>
                <w:kern w:val="0"/>
                <w:szCs w:val="21"/>
              </w:rPr>
            </w:pPr>
            <w:r>
              <w:rPr>
                <w:rFonts w:hint="eastAsia" w:ascii="宋体" w:hAnsi="宋体" w:cs="宋体"/>
                <w:color w:val="000000"/>
                <w:kern w:val="0"/>
                <w:szCs w:val="21"/>
              </w:rPr>
              <w:t>系统检测</w:t>
            </w:r>
          </w:p>
        </w:tc>
        <w:tc>
          <w:tcPr>
            <w:tcW w:w="469" w:type="pct"/>
            <w:shd w:val="clear" w:color="auto" w:fill="auto"/>
            <w:vAlign w:val="center"/>
          </w:tcPr>
          <w:p w14:paraId="5734AA71">
            <w:pPr>
              <w:widowControl/>
              <w:jc w:val="center"/>
              <w:rPr>
                <w:rFonts w:ascii="宋体" w:hAnsi="宋体" w:cs="宋体"/>
                <w:color w:val="000000"/>
                <w:kern w:val="0"/>
                <w:szCs w:val="21"/>
              </w:rPr>
            </w:pPr>
            <w:r>
              <w:rPr>
                <w:rFonts w:hint="eastAsia" w:ascii="宋体" w:hAnsi="宋体" w:cs="宋体"/>
                <w:color w:val="000000"/>
                <w:kern w:val="0"/>
                <w:szCs w:val="21"/>
              </w:rPr>
              <w:t>系统安全检测服务</w:t>
            </w:r>
          </w:p>
        </w:tc>
        <w:tc>
          <w:tcPr>
            <w:tcW w:w="2191" w:type="pct"/>
            <w:shd w:val="clear" w:color="auto" w:fill="auto"/>
            <w:vAlign w:val="center"/>
          </w:tcPr>
          <w:p w14:paraId="6A289F7F">
            <w:pPr>
              <w:widowControl/>
              <w:rPr>
                <w:rFonts w:ascii="宋体" w:hAnsi="宋体" w:cs="宋体"/>
                <w:color w:val="000000"/>
                <w:kern w:val="0"/>
                <w:szCs w:val="21"/>
              </w:rPr>
            </w:pPr>
            <w:r>
              <w:rPr>
                <w:rFonts w:hint="eastAsia" w:ascii="宋体" w:hAnsi="宋体" w:cs="宋体"/>
                <w:color w:val="000000"/>
                <w:kern w:val="0"/>
                <w:szCs w:val="21"/>
              </w:rPr>
              <w:t>新系统上线前，开展安全检测，包括渗透测试、漏洞扫描、代码审计等，对发现的安全隐患，指导修复并复测，确保信息系统所有安全隐患修复完成，保障系统安全后再上线。为招标人系统上线落实完善的管理流程。</w:t>
            </w:r>
          </w:p>
        </w:tc>
        <w:tc>
          <w:tcPr>
            <w:tcW w:w="289" w:type="pct"/>
            <w:vMerge w:val="continue"/>
            <w:vAlign w:val="center"/>
          </w:tcPr>
          <w:p w14:paraId="2D68F137">
            <w:pPr>
              <w:widowControl/>
              <w:jc w:val="left"/>
              <w:rPr>
                <w:rFonts w:ascii="宋体" w:hAnsi="宋体" w:cs="宋体"/>
                <w:color w:val="000000"/>
                <w:kern w:val="0"/>
                <w:szCs w:val="21"/>
              </w:rPr>
            </w:pPr>
          </w:p>
        </w:tc>
        <w:tc>
          <w:tcPr>
            <w:tcW w:w="217" w:type="pct"/>
            <w:vMerge w:val="continue"/>
            <w:vAlign w:val="center"/>
          </w:tcPr>
          <w:p w14:paraId="13DE2DA1">
            <w:pPr>
              <w:widowControl/>
              <w:jc w:val="left"/>
              <w:rPr>
                <w:rFonts w:ascii="宋体" w:hAnsi="宋体" w:cs="宋体"/>
                <w:color w:val="000000"/>
                <w:kern w:val="0"/>
                <w:szCs w:val="21"/>
              </w:rPr>
            </w:pPr>
          </w:p>
        </w:tc>
        <w:tc>
          <w:tcPr>
            <w:tcW w:w="797" w:type="pct"/>
            <w:shd w:val="clear" w:color="auto" w:fill="auto"/>
            <w:vAlign w:val="center"/>
          </w:tcPr>
          <w:p w14:paraId="217E246D">
            <w:pPr>
              <w:widowControl/>
              <w:jc w:val="center"/>
              <w:rPr>
                <w:rFonts w:ascii="宋体" w:hAnsi="宋体" w:cs="宋体"/>
                <w:color w:val="000000"/>
                <w:kern w:val="0"/>
                <w:szCs w:val="21"/>
              </w:rPr>
            </w:pPr>
            <w:r>
              <w:rPr>
                <w:rFonts w:hint="eastAsia" w:ascii="宋体" w:hAnsi="宋体" w:cs="宋体"/>
                <w:color w:val="000000"/>
                <w:kern w:val="0"/>
                <w:szCs w:val="21"/>
              </w:rPr>
              <w:t>新系统上线前提供《系统安全检测报告》并提出相应整改建议</w:t>
            </w:r>
          </w:p>
        </w:tc>
      </w:tr>
      <w:tr w14:paraId="37A5E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72" w:type="pct"/>
            <w:shd w:val="clear" w:color="auto" w:fill="auto"/>
            <w:vAlign w:val="center"/>
          </w:tcPr>
          <w:p w14:paraId="5177EDF7">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350" w:type="pct"/>
            <w:vMerge w:val="continue"/>
            <w:vAlign w:val="center"/>
          </w:tcPr>
          <w:p w14:paraId="6255D87A">
            <w:pPr>
              <w:widowControl/>
              <w:jc w:val="left"/>
              <w:rPr>
                <w:rFonts w:ascii="宋体" w:hAnsi="宋体" w:cs="宋体"/>
                <w:color w:val="000000"/>
                <w:kern w:val="0"/>
                <w:szCs w:val="21"/>
              </w:rPr>
            </w:pPr>
          </w:p>
        </w:tc>
        <w:tc>
          <w:tcPr>
            <w:tcW w:w="415" w:type="pct"/>
            <w:shd w:val="clear" w:color="auto" w:fill="auto"/>
            <w:vAlign w:val="center"/>
          </w:tcPr>
          <w:p w14:paraId="38E7CE5B">
            <w:pPr>
              <w:widowControl/>
              <w:jc w:val="center"/>
              <w:rPr>
                <w:rFonts w:ascii="宋体" w:hAnsi="宋体" w:cs="宋体"/>
                <w:color w:val="000000"/>
                <w:kern w:val="0"/>
                <w:szCs w:val="21"/>
              </w:rPr>
            </w:pPr>
            <w:r>
              <w:rPr>
                <w:rFonts w:hint="eastAsia" w:ascii="宋体" w:hAnsi="宋体" w:cs="宋体"/>
                <w:color w:val="000000"/>
                <w:kern w:val="0"/>
                <w:szCs w:val="21"/>
              </w:rPr>
              <w:t>攻防演练</w:t>
            </w:r>
          </w:p>
        </w:tc>
        <w:tc>
          <w:tcPr>
            <w:tcW w:w="469" w:type="pct"/>
            <w:shd w:val="clear" w:color="auto" w:fill="auto"/>
            <w:vAlign w:val="center"/>
          </w:tcPr>
          <w:p w14:paraId="7A5D298B">
            <w:pPr>
              <w:widowControl/>
              <w:jc w:val="center"/>
              <w:rPr>
                <w:rFonts w:ascii="宋体" w:hAnsi="宋体" w:cs="宋体"/>
                <w:color w:val="000000"/>
                <w:kern w:val="0"/>
                <w:szCs w:val="21"/>
              </w:rPr>
            </w:pPr>
            <w:r>
              <w:rPr>
                <w:rFonts w:hint="eastAsia" w:ascii="宋体" w:hAnsi="宋体" w:cs="宋体"/>
                <w:color w:val="000000"/>
                <w:kern w:val="0"/>
                <w:szCs w:val="21"/>
              </w:rPr>
              <w:t>攻防演练服务</w:t>
            </w:r>
          </w:p>
        </w:tc>
        <w:tc>
          <w:tcPr>
            <w:tcW w:w="2191" w:type="pct"/>
            <w:shd w:val="clear" w:color="auto" w:fill="auto"/>
            <w:vAlign w:val="center"/>
          </w:tcPr>
          <w:p w14:paraId="64876FA2">
            <w:pPr>
              <w:widowControl/>
              <w:rPr>
                <w:rFonts w:ascii="宋体" w:hAnsi="宋体" w:cs="宋体"/>
                <w:color w:val="000000"/>
                <w:kern w:val="0"/>
                <w:szCs w:val="21"/>
              </w:rPr>
            </w:pPr>
            <w:r>
              <w:rPr>
                <w:rFonts w:hint="eastAsia" w:ascii="宋体" w:hAnsi="宋体" w:cs="宋体"/>
                <w:color w:val="000000"/>
                <w:kern w:val="0"/>
                <w:szCs w:val="21"/>
              </w:rPr>
              <w:t>每年为招标人组织一次单位内的实战化攻防演练服务，提供演练平台和攻击团队，组织攻防演练行动。</w:t>
            </w:r>
          </w:p>
        </w:tc>
        <w:tc>
          <w:tcPr>
            <w:tcW w:w="289" w:type="pct"/>
            <w:vMerge w:val="continue"/>
            <w:vAlign w:val="center"/>
          </w:tcPr>
          <w:p w14:paraId="5D93167A">
            <w:pPr>
              <w:widowControl/>
              <w:jc w:val="left"/>
              <w:rPr>
                <w:rFonts w:ascii="宋体" w:hAnsi="宋体" w:cs="宋体"/>
                <w:color w:val="000000"/>
                <w:kern w:val="0"/>
                <w:szCs w:val="21"/>
              </w:rPr>
            </w:pPr>
          </w:p>
        </w:tc>
        <w:tc>
          <w:tcPr>
            <w:tcW w:w="217" w:type="pct"/>
            <w:vMerge w:val="continue"/>
            <w:vAlign w:val="center"/>
          </w:tcPr>
          <w:p w14:paraId="2F1ADA2C">
            <w:pPr>
              <w:widowControl/>
              <w:jc w:val="left"/>
              <w:rPr>
                <w:rFonts w:ascii="宋体" w:hAnsi="宋体" w:cs="宋体"/>
                <w:color w:val="000000"/>
                <w:kern w:val="0"/>
                <w:szCs w:val="21"/>
              </w:rPr>
            </w:pPr>
          </w:p>
        </w:tc>
        <w:tc>
          <w:tcPr>
            <w:tcW w:w="797" w:type="pct"/>
            <w:shd w:val="clear" w:color="auto" w:fill="auto"/>
            <w:vAlign w:val="center"/>
          </w:tcPr>
          <w:p w14:paraId="06A4427F">
            <w:pPr>
              <w:widowControl/>
              <w:jc w:val="center"/>
              <w:rPr>
                <w:rFonts w:ascii="宋体" w:hAnsi="宋体" w:cs="宋体"/>
                <w:color w:val="000000"/>
                <w:kern w:val="0"/>
                <w:szCs w:val="21"/>
              </w:rPr>
            </w:pPr>
            <w:r>
              <w:rPr>
                <w:rFonts w:hint="eastAsia" w:ascii="宋体" w:hAnsi="宋体" w:cs="宋体"/>
                <w:color w:val="000000"/>
                <w:kern w:val="0"/>
                <w:szCs w:val="21"/>
              </w:rPr>
              <w:t>每年根据招标人要求组织攻防演练，提供1份《攻防演练方案》并组织演练活动</w:t>
            </w:r>
          </w:p>
        </w:tc>
      </w:tr>
      <w:tr w14:paraId="30F4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72" w:type="pct"/>
            <w:shd w:val="clear" w:color="auto" w:fill="auto"/>
            <w:vAlign w:val="center"/>
          </w:tcPr>
          <w:p w14:paraId="385106D1">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350" w:type="pct"/>
            <w:vMerge w:val="continue"/>
            <w:vAlign w:val="center"/>
          </w:tcPr>
          <w:p w14:paraId="3F39EC72">
            <w:pPr>
              <w:widowControl/>
              <w:jc w:val="left"/>
              <w:rPr>
                <w:rFonts w:ascii="宋体" w:hAnsi="宋体" w:cs="宋体"/>
                <w:color w:val="000000"/>
                <w:kern w:val="0"/>
                <w:szCs w:val="21"/>
              </w:rPr>
            </w:pPr>
          </w:p>
        </w:tc>
        <w:tc>
          <w:tcPr>
            <w:tcW w:w="415" w:type="pct"/>
            <w:shd w:val="clear" w:color="auto" w:fill="auto"/>
            <w:vAlign w:val="center"/>
          </w:tcPr>
          <w:p w14:paraId="5FC99374">
            <w:pPr>
              <w:widowControl/>
              <w:jc w:val="center"/>
              <w:rPr>
                <w:rFonts w:ascii="宋体" w:hAnsi="宋体" w:cs="宋体"/>
                <w:color w:val="000000"/>
                <w:kern w:val="0"/>
                <w:szCs w:val="21"/>
              </w:rPr>
            </w:pPr>
            <w:r>
              <w:rPr>
                <w:rFonts w:hint="eastAsia" w:ascii="宋体" w:hAnsi="宋体" w:cs="宋体"/>
                <w:color w:val="000000"/>
                <w:kern w:val="0"/>
                <w:szCs w:val="21"/>
              </w:rPr>
              <w:t>应急响应</w:t>
            </w:r>
          </w:p>
        </w:tc>
        <w:tc>
          <w:tcPr>
            <w:tcW w:w="469" w:type="pct"/>
            <w:shd w:val="clear" w:color="auto" w:fill="auto"/>
            <w:vAlign w:val="center"/>
          </w:tcPr>
          <w:p w14:paraId="03A57926">
            <w:pPr>
              <w:widowControl/>
              <w:jc w:val="center"/>
              <w:rPr>
                <w:rFonts w:ascii="宋体" w:hAnsi="宋体" w:cs="宋体"/>
                <w:color w:val="000000"/>
                <w:kern w:val="0"/>
                <w:szCs w:val="21"/>
              </w:rPr>
            </w:pPr>
            <w:r>
              <w:rPr>
                <w:rFonts w:hint="eastAsia" w:ascii="宋体" w:hAnsi="宋体" w:cs="宋体"/>
                <w:color w:val="000000"/>
                <w:kern w:val="0"/>
                <w:szCs w:val="21"/>
              </w:rPr>
              <w:t>应急响应服务</w:t>
            </w:r>
          </w:p>
        </w:tc>
        <w:tc>
          <w:tcPr>
            <w:tcW w:w="2191" w:type="pct"/>
            <w:shd w:val="clear" w:color="auto" w:fill="auto"/>
            <w:vAlign w:val="center"/>
          </w:tcPr>
          <w:p w14:paraId="50C839A5">
            <w:pPr>
              <w:widowControl/>
              <w:rPr>
                <w:rFonts w:ascii="宋体" w:hAnsi="宋体" w:cs="宋体"/>
                <w:color w:val="000000"/>
                <w:kern w:val="0"/>
                <w:szCs w:val="21"/>
              </w:rPr>
            </w:pPr>
            <w:r>
              <w:rPr>
                <w:rFonts w:hint="eastAsia" w:ascii="宋体" w:hAnsi="宋体" w:cs="宋体"/>
                <w:color w:val="000000"/>
                <w:kern w:val="0"/>
                <w:szCs w:val="21"/>
              </w:rPr>
              <w:t>如遇突发安全事件，为招标人提供专业的应急响应支撑服务，帮助招标人快速、准确应对突发事件。</w:t>
            </w:r>
          </w:p>
        </w:tc>
        <w:tc>
          <w:tcPr>
            <w:tcW w:w="289" w:type="pct"/>
            <w:vMerge w:val="continue"/>
            <w:vAlign w:val="center"/>
          </w:tcPr>
          <w:p w14:paraId="50A9A962">
            <w:pPr>
              <w:widowControl/>
              <w:jc w:val="left"/>
              <w:rPr>
                <w:rFonts w:ascii="宋体" w:hAnsi="宋体" w:cs="宋体"/>
                <w:color w:val="000000"/>
                <w:kern w:val="0"/>
                <w:szCs w:val="21"/>
              </w:rPr>
            </w:pPr>
          </w:p>
        </w:tc>
        <w:tc>
          <w:tcPr>
            <w:tcW w:w="217" w:type="pct"/>
            <w:vMerge w:val="continue"/>
            <w:vAlign w:val="center"/>
          </w:tcPr>
          <w:p w14:paraId="3AB46505">
            <w:pPr>
              <w:widowControl/>
              <w:jc w:val="left"/>
              <w:rPr>
                <w:rFonts w:ascii="宋体" w:hAnsi="宋体" w:cs="宋体"/>
                <w:color w:val="000000"/>
                <w:kern w:val="0"/>
                <w:szCs w:val="21"/>
              </w:rPr>
            </w:pPr>
          </w:p>
        </w:tc>
        <w:tc>
          <w:tcPr>
            <w:tcW w:w="797" w:type="pct"/>
            <w:shd w:val="clear" w:color="auto" w:fill="auto"/>
            <w:vAlign w:val="center"/>
          </w:tcPr>
          <w:p w14:paraId="727E3C15">
            <w:pPr>
              <w:widowControl/>
              <w:jc w:val="center"/>
              <w:rPr>
                <w:rFonts w:ascii="宋体" w:hAnsi="宋体" w:cs="宋体"/>
                <w:color w:val="000000"/>
                <w:kern w:val="0"/>
                <w:szCs w:val="21"/>
              </w:rPr>
            </w:pPr>
            <w:r>
              <w:rPr>
                <w:rFonts w:hint="eastAsia" w:ascii="宋体" w:hAnsi="宋体" w:cs="宋体"/>
                <w:color w:val="000000"/>
                <w:kern w:val="0"/>
                <w:szCs w:val="21"/>
              </w:rPr>
              <w:t>解决突发安全事件后3个工作日内提供1份《安全事件处理报告》</w:t>
            </w:r>
          </w:p>
        </w:tc>
      </w:tr>
      <w:tr w14:paraId="7873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2" w:type="pct"/>
            <w:shd w:val="clear" w:color="auto" w:fill="auto"/>
            <w:vAlign w:val="center"/>
          </w:tcPr>
          <w:p w14:paraId="4508500F">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350" w:type="pct"/>
            <w:vMerge w:val="restart"/>
            <w:shd w:val="clear" w:color="auto" w:fill="auto"/>
            <w:vAlign w:val="center"/>
          </w:tcPr>
          <w:p w14:paraId="585D6358">
            <w:pPr>
              <w:widowControl/>
              <w:jc w:val="center"/>
              <w:rPr>
                <w:rFonts w:ascii="宋体" w:hAnsi="宋体" w:cs="宋体"/>
                <w:color w:val="000000"/>
                <w:kern w:val="0"/>
                <w:szCs w:val="21"/>
              </w:rPr>
            </w:pPr>
            <w:r>
              <w:rPr>
                <w:rFonts w:hint="eastAsia" w:ascii="宋体" w:hAnsi="宋体" w:cs="宋体"/>
                <w:color w:val="000000"/>
                <w:kern w:val="0"/>
                <w:szCs w:val="21"/>
              </w:rPr>
              <w:t>安全培训</w:t>
            </w:r>
          </w:p>
        </w:tc>
        <w:tc>
          <w:tcPr>
            <w:tcW w:w="415" w:type="pct"/>
            <w:shd w:val="clear" w:color="auto" w:fill="auto"/>
            <w:vAlign w:val="center"/>
          </w:tcPr>
          <w:p w14:paraId="00CBBF2B">
            <w:pPr>
              <w:widowControl/>
              <w:jc w:val="center"/>
              <w:rPr>
                <w:rFonts w:ascii="宋体" w:hAnsi="宋体" w:cs="宋体"/>
                <w:color w:val="000000"/>
                <w:kern w:val="0"/>
                <w:szCs w:val="21"/>
              </w:rPr>
            </w:pPr>
            <w:r>
              <w:rPr>
                <w:rFonts w:hint="eastAsia" w:ascii="宋体" w:hAnsi="宋体" w:cs="宋体"/>
                <w:color w:val="000000"/>
                <w:kern w:val="0"/>
                <w:szCs w:val="21"/>
              </w:rPr>
              <w:t>安全意识</w:t>
            </w:r>
          </w:p>
        </w:tc>
        <w:tc>
          <w:tcPr>
            <w:tcW w:w="469" w:type="pct"/>
            <w:shd w:val="clear" w:color="auto" w:fill="auto"/>
            <w:vAlign w:val="center"/>
          </w:tcPr>
          <w:p w14:paraId="1FE23DF6">
            <w:pPr>
              <w:widowControl/>
              <w:jc w:val="center"/>
              <w:rPr>
                <w:rFonts w:ascii="宋体" w:hAnsi="宋体" w:cs="宋体"/>
                <w:color w:val="000000"/>
                <w:kern w:val="0"/>
                <w:szCs w:val="21"/>
              </w:rPr>
            </w:pPr>
            <w:r>
              <w:rPr>
                <w:rFonts w:hint="eastAsia" w:ascii="宋体" w:hAnsi="宋体" w:cs="宋体"/>
                <w:color w:val="000000"/>
                <w:kern w:val="0"/>
                <w:szCs w:val="21"/>
              </w:rPr>
              <w:t>全院安全意识提升培训</w:t>
            </w:r>
          </w:p>
        </w:tc>
        <w:tc>
          <w:tcPr>
            <w:tcW w:w="2191" w:type="pct"/>
            <w:shd w:val="clear" w:color="auto" w:fill="auto"/>
            <w:vAlign w:val="center"/>
          </w:tcPr>
          <w:p w14:paraId="1BBB20FC">
            <w:pPr>
              <w:widowControl/>
              <w:rPr>
                <w:rFonts w:ascii="宋体" w:hAnsi="宋体" w:cs="宋体"/>
                <w:color w:val="000000"/>
                <w:kern w:val="0"/>
                <w:szCs w:val="21"/>
              </w:rPr>
            </w:pPr>
            <w:r>
              <w:rPr>
                <w:rFonts w:hint="eastAsia" w:ascii="宋体" w:hAnsi="宋体" w:cs="宋体"/>
                <w:color w:val="000000"/>
                <w:kern w:val="0"/>
                <w:szCs w:val="21"/>
              </w:rPr>
              <w:t>每年对招标人单位全员开展1次安全意识提升培训。</w:t>
            </w:r>
          </w:p>
        </w:tc>
        <w:tc>
          <w:tcPr>
            <w:tcW w:w="289" w:type="pct"/>
            <w:vMerge w:val="restart"/>
            <w:shd w:val="clear" w:color="auto" w:fill="auto"/>
            <w:vAlign w:val="center"/>
          </w:tcPr>
          <w:p w14:paraId="51525F25">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17" w:type="pct"/>
            <w:vMerge w:val="restart"/>
            <w:shd w:val="clear" w:color="auto" w:fill="auto"/>
            <w:vAlign w:val="center"/>
          </w:tcPr>
          <w:p w14:paraId="12AEB760">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797" w:type="pct"/>
            <w:vMerge w:val="restart"/>
            <w:shd w:val="clear" w:color="auto" w:fill="auto"/>
            <w:vAlign w:val="center"/>
          </w:tcPr>
          <w:p w14:paraId="4D05EC79">
            <w:pPr>
              <w:widowControl/>
              <w:jc w:val="center"/>
              <w:rPr>
                <w:rFonts w:ascii="宋体" w:hAnsi="宋体" w:cs="宋体"/>
                <w:color w:val="000000"/>
                <w:kern w:val="0"/>
                <w:szCs w:val="21"/>
              </w:rPr>
            </w:pPr>
            <w:r>
              <w:rPr>
                <w:rFonts w:hint="eastAsia" w:ascii="宋体" w:hAnsi="宋体" w:cs="宋体"/>
                <w:color w:val="000000"/>
                <w:kern w:val="0"/>
                <w:szCs w:val="21"/>
              </w:rPr>
              <w:t>根据招标人指定时间安排培训，提供《安全培训PPT》</w:t>
            </w:r>
          </w:p>
        </w:tc>
      </w:tr>
      <w:tr w14:paraId="21643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1" w:type="pct"/>
            <w:shd w:val="clear" w:color="auto" w:fill="auto"/>
            <w:vAlign w:val="center"/>
          </w:tcPr>
          <w:p w14:paraId="12DC3A5D">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350" w:type="pct"/>
            <w:vMerge w:val="continue"/>
            <w:vAlign w:val="center"/>
          </w:tcPr>
          <w:p w14:paraId="37E3BACE">
            <w:pPr>
              <w:widowControl/>
              <w:jc w:val="left"/>
              <w:rPr>
                <w:rFonts w:ascii="宋体" w:hAnsi="宋体" w:cs="宋体"/>
                <w:color w:val="000000"/>
                <w:kern w:val="0"/>
                <w:szCs w:val="21"/>
              </w:rPr>
            </w:pPr>
          </w:p>
        </w:tc>
        <w:tc>
          <w:tcPr>
            <w:tcW w:w="415" w:type="pct"/>
            <w:shd w:val="clear" w:color="auto" w:fill="auto"/>
            <w:vAlign w:val="center"/>
          </w:tcPr>
          <w:p w14:paraId="08D3B29E">
            <w:pPr>
              <w:widowControl/>
              <w:jc w:val="center"/>
              <w:rPr>
                <w:rFonts w:ascii="宋体" w:hAnsi="宋体" w:cs="宋体"/>
                <w:color w:val="000000"/>
                <w:kern w:val="0"/>
                <w:szCs w:val="21"/>
              </w:rPr>
            </w:pPr>
            <w:r>
              <w:rPr>
                <w:rFonts w:hint="eastAsia" w:ascii="宋体" w:hAnsi="宋体" w:cs="宋体"/>
                <w:color w:val="000000"/>
                <w:kern w:val="0"/>
                <w:szCs w:val="21"/>
              </w:rPr>
              <w:t>安全技术</w:t>
            </w:r>
          </w:p>
        </w:tc>
        <w:tc>
          <w:tcPr>
            <w:tcW w:w="469" w:type="pct"/>
            <w:shd w:val="clear" w:color="auto" w:fill="auto"/>
            <w:vAlign w:val="center"/>
          </w:tcPr>
          <w:p w14:paraId="51D16CB4">
            <w:pPr>
              <w:widowControl/>
              <w:jc w:val="center"/>
              <w:rPr>
                <w:rFonts w:ascii="宋体" w:hAnsi="宋体" w:cs="宋体"/>
                <w:color w:val="000000"/>
                <w:kern w:val="0"/>
                <w:szCs w:val="21"/>
              </w:rPr>
            </w:pPr>
            <w:r>
              <w:rPr>
                <w:rFonts w:hint="eastAsia" w:ascii="宋体" w:hAnsi="宋体" w:cs="宋体"/>
                <w:color w:val="000000"/>
                <w:kern w:val="0"/>
                <w:szCs w:val="21"/>
              </w:rPr>
              <w:t>安全技术培训服务</w:t>
            </w:r>
          </w:p>
        </w:tc>
        <w:tc>
          <w:tcPr>
            <w:tcW w:w="2191" w:type="pct"/>
            <w:shd w:val="clear" w:color="auto" w:fill="auto"/>
            <w:vAlign w:val="center"/>
          </w:tcPr>
          <w:p w14:paraId="7A6E2A9E">
            <w:pPr>
              <w:widowControl/>
              <w:rPr>
                <w:rFonts w:ascii="宋体" w:hAnsi="宋体" w:cs="宋体"/>
                <w:color w:val="000000"/>
                <w:kern w:val="0"/>
                <w:szCs w:val="21"/>
              </w:rPr>
            </w:pPr>
            <w:r>
              <w:rPr>
                <w:rFonts w:hint="eastAsia" w:ascii="宋体" w:hAnsi="宋体" w:cs="宋体"/>
                <w:color w:val="000000"/>
                <w:kern w:val="0"/>
                <w:szCs w:val="21"/>
              </w:rPr>
              <w:t>根据招标人对单位安全技术人员的专业能力要求，以线上线下结合的培训方式，每年度集中培训1次。</w:t>
            </w:r>
          </w:p>
        </w:tc>
        <w:tc>
          <w:tcPr>
            <w:tcW w:w="289" w:type="pct"/>
            <w:vMerge w:val="continue"/>
            <w:vAlign w:val="center"/>
          </w:tcPr>
          <w:p w14:paraId="5FD099BB">
            <w:pPr>
              <w:widowControl/>
              <w:jc w:val="left"/>
              <w:rPr>
                <w:rFonts w:ascii="宋体" w:hAnsi="宋体" w:cs="宋体"/>
                <w:color w:val="000000"/>
                <w:kern w:val="0"/>
                <w:szCs w:val="21"/>
              </w:rPr>
            </w:pPr>
          </w:p>
        </w:tc>
        <w:tc>
          <w:tcPr>
            <w:tcW w:w="218" w:type="pct"/>
            <w:vMerge w:val="continue"/>
            <w:vAlign w:val="center"/>
          </w:tcPr>
          <w:p w14:paraId="38677036">
            <w:pPr>
              <w:widowControl/>
              <w:jc w:val="left"/>
              <w:rPr>
                <w:rFonts w:ascii="宋体" w:hAnsi="宋体" w:cs="宋体"/>
                <w:color w:val="000000"/>
                <w:kern w:val="0"/>
                <w:szCs w:val="21"/>
              </w:rPr>
            </w:pPr>
          </w:p>
        </w:tc>
        <w:tc>
          <w:tcPr>
            <w:tcW w:w="797" w:type="pct"/>
            <w:vMerge w:val="continue"/>
            <w:shd w:val="clear" w:color="auto" w:fill="auto"/>
            <w:vAlign w:val="center"/>
          </w:tcPr>
          <w:p w14:paraId="277FB6ED">
            <w:pPr>
              <w:widowControl/>
              <w:jc w:val="center"/>
              <w:rPr>
                <w:rFonts w:ascii="宋体" w:hAnsi="宋体" w:cs="宋体"/>
                <w:color w:val="000000"/>
                <w:kern w:val="0"/>
                <w:szCs w:val="21"/>
              </w:rPr>
            </w:pPr>
          </w:p>
        </w:tc>
      </w:tr>
    </w:tbl>
    <w:p w14:paraId="728F2E62">
      <w:pPr>
        <w:rPr>
          <w:rFonts w:ascii="宋体" w:hAnsi="宋体"/>
        </w:rPr>
      </w:pPr>
    </w:p>
    <w:p w14:paraId="166E0E61">
      <w:pPr>
        <w:widowControl/>
        <w:jc w:val="left"/>
        <w:rPr>
          <w:rFonts w:ascii="宋体" w:hAnsi="宋体"/>
          <w:bCs/>
          <w:sz w:val="28"/>
          <w:szCs w:val="28"/>
        </w:rPr>
      </w:pPr>
      <w:r>
        <w:rPr>
          <w:rFonts w:ascii="宋体" w:hAnsi="宋体"/>
          <w:bCs/>
          <w:sz w:val="28"/>
          <w:szCs w:val="28"/>
        </w:rPr>
        <w:br w:type="page"/>
      </w:r>
    </w:p>
    <w:p w14:paraId="0B019259">
      <w:pPr>
        <w:jc w:val="left"/>
        <w:rPr>
          <w:rFonts w:ascii="宋体" w:hAnsi="宋体"/>
          <w:bCs/>
          <w:sz w:val="28"/>
          <w:szCs w:val="28"/>
        </w:rPr>
      </w:pPr>
      <w:r>
        <w:rPr>
          <w:rFonts w:hint="eastAsia" w:ascii="宋体" w:hAnsi="宋体"/>
          <w:bCs/>
          <w:sz w:val="28"/>
          <w:szCs w:val="28"/>
        </w:rPr>
        <w:t>4、服务工具清单</w:t>
      </w:r>
    </w:p>
    <w:p w14:paraId="306DE394">
      <w:pPr>
        <w:ind w:firstLine="480"/>
        <w:rPr>
          <w:sz w:val="28"/>
        </w:rPr>
      </w:pPr>
      <w:r>
        <w:rPr>
          <w:rFonts w:hint="eastAsia"/>
          <w:sz w:val="28"/>
        </w:rPr>
        <w:t>本次项目服务过程中，需要响应供应商自行携带满足网络安全工作所需的软、硬件服务工具，具体所需的服务工具性能要求如下：</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253"/>
        <w:gridCol w:w="853"/>
        <w:gridCol w:w="6821"/>
      </w:tblGrid>
      <w:tr w14:paraId="13F5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62" w:type="pct"/>
            <w:shd w:val="clear" w:color="auto" w:fill="auto"/>
            <w:noWrap/>
            <w:vAlign w:val="center"/>
          </w:tcPr>
          <w:p w14:paraId="3A4614AD">
            <w:pPr>
              <w:widowControl/>
              <w:jc w:val="center"/>
              <w:rPr>
                <w:rFonts w:ascii="宋体" w:hAnsi="宋体" w:cs="宋体"/>
                <w:color w:val="000000"/>
                <w:kern w:val="0"/>
                <w:sz w:val="24"/>
                <w:szCs w:val="20"/>
              </w:rPr>
            </w:pPr>
            <w:r>
              <w:rPr>
                <w:rFonts w:hint="eastAsia" w:ascii="宋体" w:hAnsi="宋体" w:cs="宋体"/>
                <w:color w:val="000000"/>
                <w:kern w:val="0"/>
                <w:sz w:val="24"/>
                <w:szCs w:val="20"/>
              </w:rPr>
              <w:t>序号</w:t>
            </w:r>
          </w:p>
        </w:tc>
        <w:tc>
          <w:tcPr>
            <w:tcW w:w="651" w:type="pct"/>
            <w:shd w:val="clear" w:color="auto" w:fill="auto"/>
            <w:vAlign w:val="center"/>
          </w:tcPr>
          <w:p w14:paraId="6A9E95F6">
            <w:pPr>
              <w:widowControl/>
              <w:jc w:val="center"/>
              <w:rPr>
                <w:rFonts w:ascii="宋体" w:hAnsi="宋体" w:cs="宋体"/>
                <w:color w:val="000000"/>
                <w:kern w:val="0"/>
                <w:sz w:val="24"/>
                <w:szCs w:val="20"/>
              </w:rPr>
            </w:pPr>
            <w:r>
              <w:rPr>
                <w:rFonts w:hint="eastAsia" w:ascii="宋体" w:hAnsi="宋体" w:cs="宋体"/>
                <w:color w:val="000000"/>
                <w:kern w:val="0"/>
                <w:sz w:val="24"/>
                <w:szCs w:val="20"/>
              </w:rPr>
              <w:t>服务工具</w:t>
            </w:r>
          </w:p>
        </w:tc>
        <w:tc>
          <w:tcPr>
            <w:tcW w:w="443" w:type="pct"/>
            <w:shd w:val="clear" w:color="auto" w:fill="auto"/>
            <w:noWrap/>
            <w:vAlign w:val="center"/>
          </w:tcPr>
          <w:p w14:paraId="7BFE8366">
            <w:pPr>
              <w:widowControl/>
              <w:jc w:val="center"/>
              <w:rPr>
                <w:rFonts w:ascii="宋体" w:hAnsi="宋体" w:cs="宋体"/>
                <w:color w:val="000000"/>
                <w:kern w:val="0"/>
                <w:sz w:val="24"/>
                <w:szCs w:val="20"/>
              </w:rPr>
            </w:pPr>
            <w:r>
              <w:rPr>
                <w:rFonts w:hint="eastAsia" w:ascii="宋体" w:hAnsi="宋体" w:cs="宋体"/>
                <w:color w:val="000000"/>
                <w:kern w:val="0"/>
                <w:sz w:val="24"/>
                <w:szCs w:val="20"/>
              </w:rPr>
              <w:t>数量</w:t>
            </w:r>
          </w:p>
        </w:tc>
        <w:tc>
          <w:tcPr>
            <w:tcW w:w="3544" w:type="pct"/>
            <w:shd w:val="clear" w:color="auto" w:fill="auto"/>
            <w:noWrap/>
            <w:vAlign w:val="center"/>
          </w:tcPr>
          <w:p w14:paraId="7E68AA8B">
            <w:pPr>
              <w:widowControl/>
              <w:jc w:val="center"/>
              <w:rPr>
                <w:rFonts w:ascii="宋体" w:hAnsi="宋体" w:cs="宋体"/>
                <w:color w:val="000000"/>
                <w:kern w:val="0"/>
                <w:sz w:val="24"/>
                <w:szCs w:val="20"/>
              </w:rPr>
            </w:pPr>
            <w:r>
              <w:rPr>
                <w:rFonts w:hint="eastAsia" w:ascii="宋体" w:hAnsi="宋体" w:cs="宋体"/>
                <w:color w:val="000000"/>
                <w:kern w:val="0"/>
                <w:sz w:val="24"/>
                <w:szCs w:val="20"/>
              </w:rPr>
              <w:t>工具性能要求</w:t>
            </w:r>
          </w:p>
        </w:tc>
      </w:tr>
      <w:tr w14:paraId="57EB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62" w:type="pct"/>
            <w:shd w:val="clear" w:color="auto" w:fill="auto"/>
            <w:noWrap/>
            <w:vAlign w:val="center"/>
          </w:tcPr>
          <w:p w14:paraId="065C64A6">
            <w:pPr>
              <w:widowControl/>
              <w:jc w:val="center"/>
              <w:rPr>
                <w:rFonts w:ascii="宋体" w:hAnsi="宋体" w:cs="宋体"/>
                <w:color w:val="000000"/>
                <w:kern w:val="0"/>
                <w:sz w:val="24"/>
                <w:szCs w:val="20"/>
              </w:rPr>
            </w:pPr>
            <w:r>
              <w:rPr>
                <w:rFonts w:ascii="宋体" w:hAnsi="宋体" w:cs="宋体"/>
                <w:color w:val="000000"/>
                <w:kern w:val="0"/>
                <w:sz w:val="24"/>
                <w:szCs w:val="20"/>
              </w:rPr>
              <w:t>1</w:t>
            </w:r>
          </w:p>
        </w:tc>
        <w:tc>
          <w:tcPr>
            <w:tcW w:w="651" w:type="pct"/>
            <w:shd w:val="clear" w:color="auto" w:fill="auto"/>
            <w:vAlign w:val="center"/>
          </w:tcPr>
          <w:p w14:paraId="64873537">
            <w:pPr>
              <w:widowControl/>
              <w:jc w:val="left"/>
              <w:rPr>
                <w:rFonts w:ascii="宋体" w:hAnsi="宋体" w:cs="宋体"/>
                <w:color w:val="000000"/>
                <w:kern w:val="0"/>
                <w:sz w:val="24"/>
                <w:szCs w:val="20"/>
              </w:rPr>
            </w:pPr>
            <w:r>
              <w:rPr>
                <w:rFonts w:hint="eastAsia" w:ascii="宋体" w:hAnsi="宋体" w:cs="宋体"/>
                <w:color w:val="000000"/>
                <w:kern w:val="0"/>
                <w:sz w:val="24"/>
                <w:szCs w:val="20"/>
              </w:rPr>
              <w:t>边界安全防护服务工具</w:t>
            </w:r>
          </w:p>
        </w:tc>
        <w:tc>
          <w:tcPr>
            <w:tcW w:w="443" w:type="pct"/>
            <w:shd w:val="clear" w:color="auto" w:fill="auto"/>
            <w:noWrap/>
            <w:vAlign w:val="center"/>
          </w:tcPr>
          <w:p w14:paraId="4F81E998">
            <w:pPr>
              <w:widowControl/>
              <w:jc w:val="center"/>
              <w:rPr>
                <w:rFonts w:ascii="宋体" w:hAnsi="宋体" w:cs="宋体"/>
                <w:color w:val="000000"/>
                <w:kern w:val="0"/>
                <w:sz w:val="24"/>
                <w:szCs w:val="20"/>
              </w:rPr>
            </w:pPr>
            <w:r>
              <w:rPr>
                <w:rFonts w:hint="eastAsia" w:ascii="宋体" w:hAnsi="宋体" w:cs="宋体"/>
                <w:color w:val="000000"/>
                <w:kern w:val="0"/>
                <w:sz w:val="24"/>
                <w:szCs w:val="20"/>
              </w:rPr>
              <w:t>2套</w:t>
            </w:r>
          </w:p>
        </w:tc>
        <w:tc>
          <w:tcPr>
            <w:tcW w:w="3544" w:type="pct"/>
            <w:shd w:val="clear" w:color="auto" w:fill="auto"/>
            <w:vAlign w:val="center"/>
          </w:tcPr>
          <w:p w14:paraId="1BF7950A">
            <w:pPr>
              <w:widowControl/>
              <w:jc w:val="left"/>
              <w:rPr>
                <w:rFonts w:ascii="宋体" w:hAnsi="宋体" w:cs="宋体"/>
                <w:color w:val="000000"/>
                <w:kern w:val="0"/>
                <w:sz w:val="24"/>
                <w:szCs w:val="20"/>
              </w:rPr>
            </w:pPr>
            <w:r>
              <w:rPr>
                <w:rFonts w:hint="eastAsia" w:ascii="宋体" w:hAnsi="宋体" w:cs="宋体"/>
                <w:color w:val="000000"/>
                <w:kern w:val="0"/>
                <w:sz w:val="24"/>
                <w:szCs w:val="20"/>
              </w:rPr>
              <w:t>1、网络层吞吐量≥4G;应用层吞吐量≥2G;防病毒吞吐量≥600M;IPS吞吐量≥600M;全威胁吞吐量≥450M;并发连接数≥200万;HTTP新建连接数≥6万;SSL VPN推荐用户数≥20; IPSec VPN 最大接入数≥300;IPSec VPN吞吐量≥270M;规格:1U; 电源:单电源; 接口≥8千兆电口; 2千兆光口SFP</w:t>
            </w:r>
          </w:p>
          <w:p w14:paraId="2257C35D">
            <w:pPr>
              <w:widowControl/>
              <w:jc w:val="left"/>
              <w:rPr>
                <w:rFonts w:ascii="宋体" w:hAnsi="宋体" w:cs="宋体"/>
                <w:color w:val="000000"/>
                <w:kern w:val="0"/>
                <w:sz w:val="24"/>
                <w:szCs w:val="20"/>
              </w:rPr>
            </w:pPr>
            <w:r>
              <w:rPr>
                <w:rFonts w:hint="eastAsia" w:ascii="宋体" w:hAnsi="宋体" w:cs="宋体"/>
                <w:color w:val="000000"/>
                <w:kern w:val="0"/>
                <w:sz w:val="24"/>
                <w:szCs w:val="20"/>
              </w:rPr>
              <w:t>2、支持路由，网桥，单臂，旁路，虚拟网线以及混合部署方式。</w:t>
            </w:r>
          </w:p>
          <w:p w14:paraId="714FC6B6">
            <w:pPr>
              <w:widowControl/>
              <w:jc w:val="left"/>
              <w:rPr>
                <w:rFonts w:ascii="宋体" w:hAnsi="宋体" w:cs="宋体"/>
                <w:color w:val="000000"/>
                <w:kern w:val="0"/>
                <w:sz w:val="24"/>
                <w:szCs w:val="20"/>
              </w:rPr>
            </w:pPr>
            <w:r>
              <w:rPr>
                <w:rFonts w:hint="eastAsia" w:ascii="宋体" w:hAnsi="宋体" w:cs="宋体"/>
                <w:color w:val="000000"/>
                <w:kern w:val="0"/>
                <w:sz w:val="24"/>
                <w:szCs w:val="20"/>
              </w:rPr>
              <w:t>3、具备静态路由和多播路由，支持RIP、OSPF、BGP等动态路由协议。</w:t>
            </w:r>
          </w:p>
          <w:p w14:paraId="404439AA">
            <w:pPr>
              <w:widowControl/>
              <w:jc w:val="left"/>
              <w:rPr>
                <w:rFonts w:ascii="宋体" w:hAnsi="宋体" w:cs="宋体"/>
                <w:color w:val="000000"/>
                <w:kern w:val="0"/>
                <w:sz w:val="24"/>
                <w:szCs w:val="20"/>
              </w:rPr>
            </w:pPr>
            <w:r>
              <w:rPr>
                <w:rFonts w:hint="eastAsia" w:ascii="宋体" w:hAnsi="宋体" w:cs="宋体"/>
                <w:color w:val="000000"/>
                <w:kern w:val="0"/>
                <w:sz w:val="24"/>
                <w:szCs w:val="20"/>
              </w:rPr>
              <w:t>4、具备ARP代理功能，对指定地址的ARP请求使用指定接口的MAC地址应答，实现保护内网主机。</w:t>
            </w:r>
          </w:p>
          <w:p w14:paraId="34E1038F">
            <w:pPr>
              <w:widowControl/>
              <w:jc w:val="left"/>
              <w:rPr>
                <w:rFonts w:ascii="宋体" w:hAnsi="宋体" w:cs="宋体"/>
                <w:color w:val="000000"/>
                <w:kern w:val="0"/>
                <w:sz w:val="24"/>
                <w:szCs w:val="20"/>
              </w:rPr>
            </w:pPr>
            <w:r>
              <w:rPr>
                <w:rFonts w:hint="eastAsia" w:ascii="宋体" w:hAnsi="宋体" w:cs="宋体"/>
                <w:color w:val="000000"/>
                <w:kern w:val="0"/>
                <w:sz w:val="24"/>
                <w:szCs w:val="20"/>
              </w:rPr>
              <w:t>5、支持NAT穿透技术ALG，支持FTP、TFTP、SQLNET、PPTP、RTSP、SIP 、H.323等协议。</w:t>
            </w:r>
          </w:p>
          <w:p w14:paraId="367BB529">
            <w:pPr>
              <w:widowControl/>
              <w:jc w:val="left"/>
              <w:rPr>
                <w:rFonts w:ascii="宋体" w:hAnsi="宋体" w:cs="宋体"/>
                <w:color w:val="000000"/>
                <w:kern w:val="0"/>
                <w:sz w:val="24"/>
                <w:szCs w:val="20"/>
              </w:rPr>
            </w:pPr>
            <w:r>
              <w:rPr>
                <w:rFonts w:hint="eastAsia" w:ascii="宋体" w:hAnsi="宋体" w:cs="宋体"/>
                <w:color w:val="000000"/>
                <w:kern w:val="0"/>
                <w:sz w:val="24"/>
                <w:szCs w:val="20"/>
              </w:rPr>
              <w:t>6、产品支持3种以上的用户认证方式,包含但不限于单点登录、本地账号密码、外部账号密码认证。</w:t>
            </w:r>
          </w:p>
          <w:p w14:paraId="3EEAA943">
            <w:pPr>
              <w:widowControl/>
              <w:jc w:val="left"/>
              <w:rPr>
                <w:rFonts w:ascii="宋体" w:hAnsi="宋体" w:cs="宋体"/>
                <w:color w:val="000000"/>
                <w:kern w:val="0"/>
                <w:sz w:val="24"/>
                <w:szCs w:val="20"/>
              </w:rPr>
            </w:pPr>
            <w:r>
              <w:rPr>
                <w:rFonts w:hint="eastAsia" w:ascii="宋体" w:hAnsi="宋体" w:cs="宋体"/>
                <w:color w:val="000000"/>
                <w:kern w:val="0"/>
                <w:sz w:val="24"/>
                <w:szCs w:val="20"/>
              </w:rPr>
              <w:t>7、产品支持多维度流量控制功能，支持基于IP地址、用户、应用、时间设置流量控制策略，保证关键业务带宽日常需求。</w:t>
            </w:r>
          </w:p>
          <w:p w14:paraId="397BB7CB">
            <w:pPr>
              <w:widowControl/>
              <w:jc w:val="left"/>
              <w:rPr>
                <w:rFonts w:ascii="宋体" w:hAnsi="宋体" w:cs="宋体"/>
                <w:color w:val="000000"/>
                <w:kern w:val="0"/>
                <w:sz w:val="24"/>
                <w:szCs w:val="20"/>
              </w:rPr>
            </w:pPr>
            <w:r>
              <w:rPr>
                <w:rFonts w:hint="eastAsia" w:ascii="宋体" w:hAnsi="宋体" w:cs="宋体"/>
                <w:color w:val="000000"/>
                <w:kern w:val="0"/>
                <w:sz w:val="24"/>
                <w:szCs w:val="20"/>
              </w:rPr>
              <w:t>8、产品支持异常数据包攻击防御，防护类型包括IP数据块分片传输防护、Teardrop攻击防护、Smurf攻击防护、Land攻击防护、WinNuke攻击防护等攻击类型。</w:t>
            </w:r>
          </w:p>
          <w:p w14:paraId="485B3FE6">
            <w:pPr>
              <w:widowControl/>
              <w:jc w:val="left"/>
              <w:rPr>
                <w:rFonts w:ascii="宋体" w:hAnsi="宋体" w:cs="宋体"/>
                <w:color w:val="000000"/>
                <w:kern w:val="0"/>
                <w:sz w:val="24"/>
                <w:szCs w:val="20"/>
              </w:rPr>
            </w:pPr>
            <w:r>
              <w:rPr>
                <w:rFonts w:hint="eastAsia" w:ascii="宋体" w:hAnsi="宋体" w:cs="宋体"/>
                <w:color w:val="000000"/>
                <w:kern w:val="0"/>
                <w:sz w:val="24"/>
                <w:szCs w:val="20"/>
              </w:rPr>
              <w:t>9、产品支持对SMTP、HTTP、FTP、SMB、POP3、HTTPS、IMAP等协议进行病毒防御。</w:t>
            </w:r>
          </w:p>
          <w:p w14:paraId="01EB42E3">
            <w:pPr>
              <w:widowControl/>
              <w:jc w:val="left"/>
              <w:rPr>
                <w:rFonts w:ascii="宋体" w:hAnsi="宋体" w:cs="宋体"/>
                <w:color w:val="000000"/>
                <w:kern w:val="0"/>
                <w:sz w:val="24"/>
                <w:szCs w:val="20"/>
              </w:rPr>
            </w:pPr>
            <w:r>
              <w:rPr>
                <w:rFonts w:hint="eastAsia" w:ascii="宋体" w:hAnsi="宋体" w:cs="宋体"/>
                <w:color w:val="000000"/>
                <w:kern w:val="0"/>
                <w:sz w:val="24"/>
                <w:szCs w:val="20"/>
              </w:rPr>
              <w:t>10、产品支持基于IMAP、FTP、RDP、VNC、SSH、TELNET、ORACLE、MYSQL、MSSQL等应用协议进行深度检测与防护。</w:t>
            </w:r>
          </w:p>
          <w:p w14:paraId="4F995A5B">
            <w:pPr>
              <w:widowControl/>
              <w:jc w:val="left"/>
              <w:rPr>
                <w:rFonts w:ascii="宋体" w:hAnsi="宋体" w:cs="宋体"/>
                <w:color w:val="000000"/>
                <w:kern w:val="0"/>
                <w:sz w:val="24"/>
                <w:szCs w:val="20"/>
              </w:rPr>
            </w:pPr>
            <w:r>
              <w:rPr>
                <w:rFonts w:hint="eastAsia" w:ascii="宋体" w:hAnsi="宋体" w:cs="宋体"/>
                <w:color w:val="000000"/>
                <w:kern w:val="0"/>
                <w:sz w:val="24"/>
                <w:szCs w:val="20"/>
              </w:rPr>
              <w:t>11、产品支持安全策略有效性分析功能，分析内容至少包括策略冗余分析、策略匹配分析、风险端口风险等内容，提供安全策略优化建议</w:t>
            </w:r>
          </w:p>
        </w:tc>
      </w:tr>
      <w:tr w14:paraId="2765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2" w:type="pct"/>
            <w:shd w:val="clear" w:color="auto" w:fill="auto"/>
            <w:noWrap/>
            <w:vAlign w:val="center"/>
          </w:tcPr>
          <w:p w14:paraId="07E8FB5F">
            <w:pPr>
              <w:widowControl/>
              <w:jc w:val="center"/>
              <w:rPr>
                <w:rFonts w:ascii="宋体" w:hAnsi="宋体" w:cs="宋体"/>
                <w:color w:val="000000"/>
                <w:kern w:val="0"/>
                <w:sz w:val="24"/>
                <w:szCs w:val="20"/>
              </w:rPr>
            </w:pPr>
            <w:r>
              <w:rPr>
                <w:rFonts w:ascii="宋体" w:hAnsi="宋体" w:cs="宋体"/>
                <w:color w:val="000000"/>
                <w:kern w:val="0"/>
                <w:sz w:val="24"/>
                <w:szCs w:val="20"/>
              </w:rPr>
              <w:t>2</w:t>
            </w:r>
          </w:p>
        </w:tc>
        <w:tc>
          <w:tcPr>
            <w:tcW w:w="651" w:type="pct"/>
            <w:shd w:val="clear" w:color="auto" w:fill="auto"/>
            <w:vAlign w:val="center"/>
          </w:tcPr>
          <w:p w14:paraId="6E4B7962">
            <w:pPr>
              <w:widowControl/>
              <w:jc w:val="left"/>
              <w:rPr>
                <w:rFonts w:ascii="宋体" w:hAnsi="宋体" w:cs="宋体"/>
                <w:color w:val="000000"/>
                <w:kern w:val="0"/>
                <w:sz w:val="24"/>
                <w:szCs w:val="20"/>
              </w:rPr>
            </w:pPr>
            <w:r>
              <w:rPr>
                <w:rFonts w:hint="eastAsia" w:ascii="宋体" w:hAnsi="宋体" w:cs="宋体"/>
                <w:color w:val="000000"/>
                <w:kern w:val="0"/>
                <w:sz w:val="24"/>
                <w:szCs w:val="20"/>
              </w:rPr>
              <w:t>流量采集服务工具</w:t>
            </w:r>
          </w:p>
        </w:tc>
        <w:tc>
          <w:tcPr>
            <w:tcW w:w="443" w:type="pct"/>
            <w:shd w:val="clear" w:color="auto" w:fill="auto"/>
            <w:noWrap/>
            <w:vAlign w:val="center"/>
          </w:tcPr>
          <w:p w14:paraId="1DCA94E1">
            <w:pPr>
              <w:widowControl/>
              <w:jc w:val="center"/>
              <w:rPr>
                <w:rFonts w:ascii="宋体" w:hAnsi="宋体" w:cs="宋体"/>
                <w:color w:val="000000"/>
                <w:kern w:val="0"/>
                <w:sz w:val="24"/>
                <w:szCs w:val="20"/>
              </w:rPr>
            </w:pPr>
            <w:r>
              <w:rPr>
                <w:rFonts w:hint="eastAsia" w:ascii="宋体" w:hAnsi="宋体" w:cs="宋体"/>
                <w:color w:val="000000"/>
                <w:kern w:val="0"/>
                <w:sz w:val="24"/>
                <w:szCs w:val="20"/>
              </w:rPr>
              <w:t>1套</w:t>
            </w:r>
          </w:p>
        </w:tc>
        <w:tc>
          <w:tcPr>
            <w:tcW w:w="3544" w:type="pct"/>
            <w:shd w:val="clear" w:color="auto" w:fill="auto"/>
            <w:vAlign w:val="center"/>
          </w:tcPr>
          <w:p w14:paraId="5CB5E9DC">
            <w:pPr>
              <w:widowControl/>
              <w:jc w:val="left"/>
              <w:rPr>
                <w:rFonts w:ascii="宋体" w:hAnsi="宋体" w:cs="宋体"/>
                <w:color w:val="000000"/>
                <w:kern w:val="0"/>
                <w:sz w:val="24"/>
                <w:szCs w:val="20"/>
              </w:rPr>
            </w:pPr>
            <w:r>
              <w:rPr>
                <w:rFonts w:hint="eastAsia" w:ascii="宋体" w:hAnsi="宋体" w:cs="宋体"/>
                <w:color w:val="000000"/>
                <w:kern w:val="0"/>
                <w:sz w:val="24"/>
                <w:szCs w:val="20"/>
              </w:rPr>
              <w:t>1、网络层吞吐量≥1Gbps，应用层吞吐量≥350Mbps；规格：2U，内存大小≥8G，硬盘容量≥480GB SSD，电源：冗余电源，接口≥6千兆电口+2万兆光口SFP+</w:t>
            </w:r>
          </w:p>
          <w:p w14:paraId="13A40928">
            <w:pPr>
              <w:widowControl/>
              <w:jc w:val="left"/>
              <w:rPr>
                <w:rFonts w:ascii="宋体" w:hAnsi="宋体" w:cs="宋体"/>
                <w:color w:val="000000"/>
                <w:kern w:val="0"/>
                <w:sz w:val="24"/>
                <w:szCs w:val="20"/>
              </w:rPr>
            </w:pPr>
            <w:r>
              <w:rPr>
                <w:rFonts w:hint="eastAsia" w:ascii="宋体" w:hAnsi="宋体" w:cs="宋体"/>
                <w:color w:val="000000"/>
                <w:kern w:val="0"/>
                <w:sz w:val="24"/>
                <w:szCs w:val="20"/>
              </w:rPr>
              <w:t>2、支持自动识别内网的服务器及其开放的服务与端口，支持以列表形式显示资产IP、提供的服务及其开放的端口、设备类型、操作系统等信息。</w:t>
            </w:r>
          </w:p>
          <w:p w14:paraId="74508C75">
            <w:pPr>
              <w:widowControl/>
              <w:jc w:val="left"/>
              <w:rPr>
                <w:rFonts w:ascii="宋体" w:hAnsi="宋体" w:cs="宋体"/>
                <w:color w:val="000000"/>
                <w:kern w:val="0"/>
                <w:sz w:val="24"/>
                <w:szCs w:val="20"/>
              </w:rPr>
            </w:pPr>
            <w:r>
              <w:rPr>
                <w:rFonts w:hint="eastAsia" w:ascii="宋体" w:hAnsi="宋体" w:cs="宋体"/>
                <w:color w:val="000000"/>
                <w:kern w:val="0"/>
                <w:sz w:val="24"/>
                <w:szCs w:val="20"/>
              </w:rPr>
              <w:t>3、支持多种类型弱口令策略可选；支持自定义FTP弱口令检测，规则设置如空口令、用户名和密码相同、长度、弱口令列表等；支持口令暴力破解检测不同类型（FTP/WEB登录）的爆破次数。</w:t>
            </w:r>
          </w:p>
          <w:p w14:paraId="04818F6F">
            <w:pPr>
              <w:widowControl/>
              <w:jc w:val="left"/>
              <w:rPr>
                <w:rFonts w:ascii="宋体" w:hAnsi="宋体" w:cs="宋体"/>
                <w:color w:val="000000"/>
                <w:kern w:val="0"/>
                <w:sz w:val="24"/>
                <w:szCs w:val="20"/>
              </w:rPr>
            </w:pPr>
            <w:r>
              <w:rPr>
                <w:rFonts w:hint="eastAsia" w:ascii="宋体" w:hAnsi="宋体" w:cs="宋体"/>
                <w:color w:val="000000"/>
                <w:kern w:val="0"/>
                <w:sz w:val="24"/>
                <w:szCs w:val="20"/>
              </w:rPr>
              <w:t>4、支持智能语义引擎检测，可针对http隧道、java反序列化保护等类型进行自定义设置</w:t>
            </w:r>
          </w:p>
          <w:p w14:paraId="5A125C0D">
            <w:pPr>
              <w:widowControl/>
              <w:jc w:val="left"/>
              <w:rPr>
                <w:rFonts w:ascii="宋体" w:hAnsi="宋体" w:cs="宋体"/>
                <w:color w:val="000000"/>
                <w:kern w:val="0"/>
                <w:sz w:val="24"/>
                <w:szCs w:val="20"/>
              </w:rPr>
            </w:pPr>
            <w:r>
              <w:rPr>
                <w:rFonts w:hint="eastAsia" w:ascii="宋体" w:hAnsi="宋体" w:cs="宋体"/>
                <w:color w:val="000000"/>
                <w:kern w:val="0"/>
                <w:sz w:val="24"/>
                <w:szCs w:val="20"/>
              </w:rPr>
              <w:t>5、支持通过白流量过滤的方式，过滤安全网站访问，提升性能。</w:t>
            </w:r>
          </w:p>
          <w:p w14:paraId="2C757190">
            <w:pPr>
              <w:widowControl/>
              <w:jc w:val="left"/>
              <w:rPr>
                <w:rFonts w:ascii="宋体" w:hAnsi="宋体" w:cs="宋体"/>
                <w:color w:val="000000"/>
                <w:kern w:val="0"/>
                <w:sz w:val="24"/>
                <w:szCs w:val="20"/>
              </w:rPr>
            </w:pPr>
            <w:r>
              <w:rPr>
                <w:rFonts w:hint="eastAsia" w:ascii="宋体" w:hAnsi="宋体" w:cs="宋体"/>
                <w:color w:val="000000"/>
                <w:kern w:val="0"/>
                <w:sz w:val="24"/>
                <w:szCs w:val="20"/>
              </w:rPr>
              <w:t>6、审计白名单支持源目IP、源目端口和日志类型、日志来源</w:t>
            </w:r>
          </w:p>
          <w:p w14:paraId="0DC34713">
            <w:pPr>
              <w:widowControl/>
              <w:jc w:val="left"/>
              <w:rPr>
                <w:rFonts w:ascii="宋体" w:hAnsi="宋体" w:cs="宋体"/>
                <w:color w:val="000000"/>
                <w:kern w:val="0"/>
                <w:sz w:val="24"/>
                <w:szCs w:val="20"/>
              </w:rPr>
            </w:pPr>
            <w:r>
              <w:rPr>
                <w:rFonts w:hint="eastAsia" w:ascii="宋体" w:hAnsi="宋体" w:cs="宋体"/>
                <w:color w:val="000000"/>
                <w:kern w:val="0"/>
                <w:sz w:val="24"/>
                <w:szCs w:val="20"/>
              </w:rPr>
              <w:t>7、支持列表形式展示阻断记录，展示维度包括：最近阻断时间、阻断类型、阻断对象、源IP、源端口、目的IP、目的端口、阻断次数等信息</w:t>
            </w:r>
          </w:p>
          <w:p w14:paraId="6E429F95">
            <w:pPr>
              <w:widowControl/>
              <w:jc w:val="left"/>
              <w:rPr>
                <w:rFonts w:ascii="宋体" w:hAnsi="宋体" w:cs="宋体"/>
                <w:color w:val="000000"/>
                <w:kern w:val="0"/>
                <w:sz w:val="24"/>
                <w:szCs w:val="20"/>
              </w:rPr>
            </w:pPr>
            <w:r>
              <w:rPr>
                <w:rFonts w:hint="eastAsia" w:ascii="宋体" w:hAnsi="宋体" w:cs="宋体"/>
                <w:color w:val="000000"/>
                <w:kern w:val="0"/>
                <w:sz w:val="24"/>
                <w:szCs w:val="20"/>
              </w:rPr>
              <w:t>8、支持访问检测日志，包括正常访问、风险访问、违规访问</w:t>
            </w:r>
          </w:p>
          <w:p w14:paraId="6E4A596B">
            <w:pPr>
              <w:widowControl/>
              <w:jc w:val="left"/>
              <w:rPr>
                <w:rFonts w:ascii="宋体" w:hAnsi="宋体" w:cs="宋体"/>
                <w:color w:val="000000"/>
                <w:kern w:val="0"/>
                <w:sz w:val="24"/>
                <w:szCs w:val="20"/>
              </w:rPr>
            </w:pPr>
            <w:r>
              <w:rPr>
                <w:rFonts w:hint="eastAsia" w:ascii="宋体" w:hAnsi="宋体" w:cs="宋体"/>
                <w:color w:val="000000"/>
                <w:kern w:val="0"/>
                <w:sz w:val="24"/>
                <w:szCs w:val="20"/>
              </w:rPr>
              <w:t>9、支持对接CWPP原始流量，包括DNS\HTTP\RDP协议流量传输到探针检测。</w:t>
            </w:r>
          </w:p>
          <w:p w14:paraId="313D79C2">
            <w:pPr>
              <w:widowControl/>
              <w:jc w:val="left"/>
              <w:rPr>
                <w:rFonts w:ascii="宋体" w:hAnsi="宋体" w:cs="宋体"/>
                <w:color w:val="000000"/>
                <w:kern w:val="0"/>
                <w:sz w:val="24"/>
                <w:szCs w:val="20"/>
              </w:rPr>
            </w:pPr>
            <w:r>
              <w:rPr>
                <w:rFonts w:hint="eastAsia" w:ascii="宋体" w:hAnsi="宋体" w:cs="宋体"/>
                <w:color w:val="000000"/>
                <w:kern w:val="0"/>
                <w:sz w:val="24"/>
                <w:szCs w:val="20"/>
              </w:rPr>
              <w:t>10、提供三权分立的用户管理能力：系统管理员、审计管理员、安全管理员、普通管理员四个角色相互独立；同时支持IP绑定的登录安全设置。普通管理员角色的权限可自定义模块页面的编辑和查看权限。</w:t>
            </w:r>
          </w:p>
          <w:p w14:paraId="63AF43F5">
            <w:pPr>
              <w:widowControl/>
              <w:jc w:val="left"/>
              <w:rPr>
                <w:rFonts w:ascii="宋体" w:hAnsi="宋体" w:cs="宋体"/>
                <w:color w:val="000000"/>
                <w:kern w:val="0"/>
                <w:sz w:val="24"/>
                <w:szCs w:val="20"/>
              </w:rPr>
            </w:pPr>
            <w:r>
              <w:rPr>
                <w:rFonts w:hint="eastAsia" w:ascii="宋体" w:hAnsi="宋体" w:cs="宋体"/>
                <w:color w:val="000000"/>
                <w:kern w:val="0"/>
                <w:sz w:val="24"/>
                <w:szCs w:val="20"/>
              </w:rPr>
              <w:t>11、支持多台采集器同时部署于客户网络不同位置并将数据传输到同一套分析平台</w:t>
            </w:r>
          </w:p>
        </w:tc>
      </w:tr>
      <w:tr w14:paraId="2EE7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2" w:type="pct"/>
            <w:shd w:val="clear" w:color="auto" w:fill="auto"/>
            <w:noWrap/>
            <w:vAlign w:val="center"/>
          </w:tcPr>
          <w:p w14:paraId="268B369F">
            <w:pPr>
              <w:widowControl/>
              <w:jc w:val="center"/>
              <w:rPr>
                <w:rFonts w:ascii="宋体" w:hAnsi="宋体" w:cs="宋体"/>
                <w:color w:val="000000"/>
                <w:kern w:val="0"/>
                <w:sz w:val="24"/>
                <w:szCs w:val="20"/>
              </w:rPr>
            </w:pPr>
            <w:r>
              <w:rPr>
                <w:rFonts w:hint="eastAsia" w:ascii="宋体" w:hAnsi="宋体" w:cs="宋体"/>
                <w:color w:val="000000"/>
                <w:kern w:val="0"/>
                <w:sz w:val="24"/>
                <w:szCs w:val="20"/>
              </w:rPr>
              <w:t>3</w:t>
            </w:r>
          </w:p>
        </w:tc>
        <w:tc>
          <w:tcPr>
            <w:tcW w:w="651" w:type="pct"/>
            <w:shd w:val="clear" w:color="auto" w:fill="auto"/>
            <w:vAlign w:val="center"/>
          </w:tcPr>
          <w:p w14:paraId="4E0B5441">
            <w:pPr>
              <w:widowControl/>
              <w:jc w:val="left"/>
              <w:rPr>
                <w:rFonts w:ascii="宋体" w:hAnsi="宋体" w:cs="宋体"/>
                <w:color w:val="000000"/>
                <w:kern w:val="0"/>
                <w:sz w:val="24"/>
                <w:szCs w:val="20"/>
              </w:rPr>
            </w:pPr>
            <w:r>
              <w:rPr>
                <w:rFonts w:hint="eastAsia" w:ascii="宋体" w:hAnsi="宋体" w:cs="宋体"/>
                <w:color w:val="000000"/>
                <w:kern w:val="0"/>
                <w:sz w:val="24"/>
                <w:szCs w:val="20"/>
              </w:rPr>
              <w:t>WEB应用防护服务工具</w:t>
            </w:r>
          </w:p>
        </w:tc>
        <w:tc>
          <w:tcPr>
            <w:tcW w:w="443" w:type="pct"/>
            <w:shd w:val="clear" w:color="auto" w:fill="auto"/>
            <w:noWrap/>
            <w:vAlign w:val="center"/>
          </w:tcPr>
          <w:p w14:paraId="09B53336">
            <w:pPr>
              <w:widowControl/>
              <w:jc w:val="center"/>
              <w:rPr>
                <w:rFonts w:ascii="宋体" w:hAnsi="宋体" w:cs="宋体"/>
                <w:color w:val="000000"/>
                <w:kern w:val="0"/>
                <w:sz w:val="24"/>
                <w:szCs w:val="20"/>
              </w:rPr>
            </w:pPr>
            <w:r>
              <w:rPr>
                <w:rFonts w:hint="eastAsia" w:ascii="宋体" w:hAnsi="宋体" w:cs="宋体"/>
                <w:color w:val="000000"/>
                <w:kern w:val="0"/>
                <w:sz w:val="24"/>
                <w:szCs w:val="20"/>
              </w:rPr>
              <w:t>1套</w:t>
            </w:r>
          </w:p>
        </w:tc>
        <w:tc>
          <w:tcPr>
            <w:tcW w:w="3544" w:type="pct"/>
            <w:shd w:val="clear" w:color="auto" w:fill="auto"/>
            <w:vAlign w:val="center"/>
          </w:tcPr>
          <w:p w14:paraId="43628AC0">
            <w:pPr>
              <w:widowControl/>
              <w:jc w:val="left"/>
              <w:rPr>
                <w:rFonts w:ascii="宋体" w:hAnsi="宋体" w:cs="宋体"/>
                <w:color w:val="000000"/>
                <w:kern w:val="0"/>
                <w:sz w:val="24"/>
                <w:szCs w:val="20"/>
              </w:rPr>
            </w:pPr>
            <w:r>
              <w:rPr>
                <w:rFonts w:hint="eastAsia" w:ascii="宋体" w:hAnsi="宋体" w:cs="宋体"/>
                <w:color w:val="000000"/>
                <w:kern w:val="0"/>
                <w:sz w:val="24"/>
                <w:szCs w:val="20"/>
              </w:rPr>
              <w:t>1、标准机架式，交流双电源；≥1个RJ45串口，≥2个GE管理口，≥6个千兆电口(3对Bypass)，≥4个千兆光口，≥2个接口扩展槽（4GE/4SFP），网络层吞吐量≥4Gbps，应用层吞吐≥1Gbps</w:t>
            </w:r>
          </w:p>
          <w:p w14:paraId="64B056E6">
            <w:pPr>
              <w:widowControl/>
              <w:jc w:val="left"/>
              <w:rPr>
                <w:rFonts w:ascii="宋体" w:hAnsi="宋体" w:cs="宋体"/>
                <w:color w:val="000000"/>
                <w:kern w:val="0"/>
                <w:sz w:val="24"/>
                <w:szCs w:val="20"/>
              </w:rPr>
            </w:pPr>
            <w:r>
              <w:rPr>
                <w:rFonts w:ascii="宋体" w:hAnsi="宋体" w:cs="宋体"/>
                <w:color w:val="000000"/>
                <w:kern w:val="0"/>
                <w:sz w:val="24"/>
                <w:szCs w:val="20"/>
              </w:rPr>
              <w:t>2</w:t>
            </w:r>
            <w:r>
              <w:rPr>
                <w:rFonts w:hint="eastAsia" w:ascii="宋体" w:hAnsi="宋体" w:cs="宋体"/>
                <w:color w:val="000000"/>
                <w:kern w:val="0"/>
                <w:sz w:val="24"/>
                <w:szCs w:val="20"/>
              </w:rPr>
              <w:t>、支持非法文件上传防护，有效识别文件上传行为，并对上传行为的内容做安全检测，可以根据需要禁止上传以下文件类型：PE(windows Executable File)、ELF(linux Executable File)、PHP web shell、Linux shell、Power shell(windows Script File)、Java shell、Asp shell、Perl shell、Python shell及Ruby shell；</w:t>
            </w:r>
          </w:p>
          <w:p w14:paraId="6835063E">
            <w:pPr>
              <w:widowControl/>
              <w:jc w:val="left"/>
              <w:rPr>
                <w:rFonts w:ascii="宋体" w:hAnsi="宋体" w:cs="宋体"/>
                <w:color w:val="000000"/>
                <w:kern w:val="0"/>
                <w:sz w:val="24"/>
                <w:szCs w:val="20"/>
              </w:rPr>
            </w:pPr>
            <w:r>
              <w:rPr>
                <w:rFonts w:ascii="宋体" w:hAnsi="宋体" w:cs="宋体"/>
                <w:color w:val="000000"/>
                <w:kern w:val="0"/>
                <w:sz w:val="24"/>
                <w:szCs w:val="20"/>
              </w:rPr>
              <w:t>3</w:t>
            </w:r>
            <w:r>
              <w:rPr>
                <w:rFonts w:hint="eastAsia" w:ascii="宋体" w:hAnsi="宋体" w:cs="宋体"/>
                <w:color w:val="000000"/>
                <w:kern w:val="0"/>
                <w:sz w:val="24"/>
                <w:szCs w:val="20"/>
              </w:rPr>
              <w:t>、支持针对主流Web服务器及插件的已知漏洞进行防护。Web服务器应覆盖主流服务器：apache、tomcat、lightpd、NGINX、IIS等；插件应覆盖：dedecms、phpmuadmin、PHPWind、shopex、discuz、echsop、vbulletin、wordpress等；</w:t>
            </w:r>
          </w:p>
          <w:p w14:paraId="1332C2A9">
            <w:pPr>
              <w:widowControl/>
              <w:jc w:val="left"/>
              <w:rPr>
                <w:rFonts w:ascii="宋体" w:hAnsi="宋体" w:cs="宋体"/>
                <w:color w:val="000000"/>
                <w:kern w:val="0"/>
                <w:sz w:val="24"/>
                <w:szCs w:val="20"/>
              </w:rPr>
            </w:pPr>
            <w:r>
              <w:rPr>
                <w:rFonts w:ascii="宋体" w:hAnsi="宋体" w:cs="宋体"/>
                <w:color w:val="000000"/>
                <w:kern w:val="0"/>
                <w:sz w:val="24"/>
                <w:szCs w:val="20"/>
              </w:rPr>
              <w:t>4</w:t>
            </w:r>
            <w:r>
              <w:rPr>
                <w:rFonts w:hint="eastAsia" w:ascii="宋体" w:hAnsi="宋体" w:cs="宋体"/>
                <w:color w:val="000000"/>
                <w:kern w:val="0"/>
                <w:sz w:val="24"/>
                <w:szCs w:val="20"/>
              </w:rPr>
              <w:t>、支持盗链防护，能够有效识别网页盗链行为，避免用户网页资源被滥用；支持Cookie安全机制；支持敏感关键字自定义；</w:t>
            </w:r>
          </w:p>
          <w:p w14:paraId="257E4250">
            <w:pPr>
              <w:widowControl/>
              <w:jc w:val="left"/>
              <w:rPr>
                <w:rFonts w:ascii="宋体" w:hAnsi="宋体" w:cs="宋体"/>
                <w:color w:val="000000"/>
                <w:kern w:val="0"/>
                <w:sz w:val="24"/>
                <w:szCs w:val="20"/>
              </w:rPr>
            </w:pPr>
            <w:r>
              <w:rPr>
                <w:rFonts w:ascii="宋体" w:hAnsi="宋体" w:cs="宋体"/>
                <w:color w:val="000000"/>
                <w:kern w:val="0"/>
                <w:sz w:val="24"/>
                <w:szCs w:val="20"/>
              </w:rPr>
              <w:t>5</w:t>
            </w:r>
            <w:r>
              <w:rPr>
                <w:rFonts w:hint="eastAsia" w:ascii="宋体" w:hAnsi="宋体" w:cs="宋体"/>
                <w:color w:val="000000"/>
                <w:kern w:val="0"/>
                <w:sz w:val="24"/>
                <w:szCs w:val="20"/>
              </w:rPr>
              <w:t>、支持暴力破解防护，可针对指定URL进行暴力破解防护，支持多种方式的登陆，支持referer检测，支持阈值和检测周期的自定义；</w:t>
            </w:r>
          </w:p>
          <w:p w14:paraId="060EA4E6">
            <w:pPr>
              <w:widowControl/>
              <w:jc w:val="left"/>
              <w:rPr>
                <w:rFonts w:ascii="宋体" w:hAnsi="宋体" w:cs="宋体"/>
                <w:color w:val="000000"/>
                <w:kern w:val="0"/>
                <w:sz w:val="24"/>
                <w:szCs w:val="20"/>
              </w:rPr>
            </w:pPr>
            <w:r>
              <w:rPr>
                <w:rFonts w:ascii="宋体" w:hAnsi="宋体" w:cs="宋体"/>
                <w:color w:val="000000"/>
                <w:kern w:val="0"/>
                <w:sz w:val="24"/>
                <w:szCs w:val="20"/>
              </w:rPr>
              <w:t>6</w:t>
            </w:r>
            <w:r>
              <w:rPr>
                <w:rFonts w:hint="eastAsia" w:ascii="宋体" w:hAnsi="宋体" w:cs="宋体"/>
                <w:color w:val="000000"/>
                <w:kern w:val="0"/>
                <w:sz w:val="24"/>
                <w:szCs w:val="20"/>
              </w:rPr>
              <w:t>、支持对攻击源地址进行智能阻断，支持永久封禁或者自定义IP封禁时间（秒/分钟/小时），并且可以手工解除解禁；</w:t>
            </w:r>
          </w:p>
          <w:p w14:paraId="14B247A1">
            <w:pPr>
              <w:widowControl/>
              <w:jc w:val="left"/>
              <w:rPr>
                <w:rFonts w:ascii="宋体" w:hAnsi="宋体" w:cs="宋体"/>
                <w:color w:val="000000"/>
                <w:kern w:val="0"/>
                <w:sz w:val="24"/>
                <w:szCs w:val="20"/>
              </w:rPr>
            </w:pPr>
            <w:r>
              <w:rPr>
                <w:rFonts w:ascii="宋体" w:hAnsi="宋体" w:cs="宋体"/>
                <w:color w:val="000000"/>
                <w:kern w:val="0"/>
                <w:sz w:val="24"/>
                <w:szCs w:val="20"/>
              </w:rPr>
              <w:t>7</w:t>
            </w:r>
            <w:r>
              <w:rPr>
                <w:rFonts w:hint="eastAsia" w:ascii="宋体" w:hAnsi="宋体" w:cs="宋体"/>
                <w:color w:val="000000"/>
                <w:kern w:val="0"/>
                <w:sz w:val="24"/>
                <w:szCs w:val="20"/>
              </w:rPr>
              <w:t>、能够兼容所有类型Web服务器，如IIS、Apache、IBM http server、WebSphere、WebLogic、Tomcat、Jboss、Resin等；</w:t>
            </w:r>
          </w:p>
          <w:p w14:paraId="3DEF997C">
            <w:pPr>
              <w:widowControl/>
              <w:jc w:val="left"/>
              <w:rPr>
                <w:rFonts w:ascii="宋体" w:hAnsi="宋体" w:cs="宋体"/>
                <w:color w:val="000000"/>
                <w:kern w:val="0"/>
                <w:sz w:val="24"/>
                <w:szCs w:val="20"/>
              </w:rPr>
            </w:pPr>
            <w:r>
              <w:rPr>
                <w:rFonts w:ascii="宋体" w:hAnsi="宋体" w:cs="宋体"/>
                <w:color w:val="000000"/>
                <w:kern w:val="0"/>
                <w:sz w:val="24"/>
                <w:szCs w:val="20"/>
              </w:rPr>
              <w:t>8</w:t>
            </w:r>
            <w:r>
              <w:rPr>
                <w:rFonts w:hint="eastAsia" w:ascii="宋体" w:hAnsi="宋体" w:cs="宋体"/>
                <w:color w:val="000000"/>
                <w:kern w:val="0"/>
                <w:sz w:val="24"/>
                <w:szCs w:val="20"/>
              </w:rPr>
              <w:t>、当需要对外发布网站时，本次服务支持一键启停服务器组中所有节点的防护；</w:t>
            </w:r>
          </w:p>
          <w:p w14:paraId="3F545BF3">
            <w:pPr>
              <w:widowControl/>
              <w:jc w:val="left"/>
              <w:rPr>
                <w:rFonts w:ascii="宋体" w:hAnsi="宋体" w:cs="宋体"/>
                <w:color w:val="000000"/>
                <w:kern w:val="0"/>
                <w:sz w:val="24"/>
                <w:szCs w:val="20"/>
              </w:rPr>
            </w:pPr>
            <w:r>
              <w:rPr>
                <w:rFonts w:ascii="宋体" w:hAnsi="宋体" w:cs="宋体"/>
                <w:color w:val="000000"/>
                <w:kern w:val="0"/>
                <w:sz w:val="24"/>
                <w:szCs w:val="20"/>
              </w:rPr>
              <w:t>9</w:t>
            </w:r>
            <w:r>
              <w:rPr>
                <w:rFonts w:hint="eastAsia" w:ascii="宋体" w:hAnsi="宋体" w:cs="宋体"/>
                <w:color w:val="000000"/>
                <w:kern w:val="0"/>
                <w:sz w:val="24"/>
                <w:szCs w:val="20"/>
              </w:rPr>
              <w:t>、支持多服务器节点的多层级管理，支持多节点划分到防护群组、管理域等多业务层级进行管理；</w:t>
            </w:r>
          </w:p>
          <w:p w14:paraId="743A9EFC">
            <w:pPr>
              <w:widowControl/>
              <w:jc w:val="left"/>
              <w:rPr>
                <w:rFonts w:ascii="宋体" w:hAnsi="宋体" w:cs="宋体"/>
                <w:color w:val="000000"/>
                <w:kern w:val="0"/>
                <w:sz w:val="24"/>
                <w:szCs w:val="20"/>
              </w:rPr>
            </w:pPr>
            <w:r>
              <w:rPr>
                <w:rFonts w:ascii="宋体" w:hAnsi="宋体" w:cs="宋体"/>
                <w:color w:val="000000"/>
                <w:kern w:val="0"/>
                <w:sz w:val="24"/>
                <w:szCs w:val="20"/>
              </w:rPr>
              <w:t>10</w:t>
            </w:r>
            <w:r>
              <w:rPr>
                <w:rFonts w:hint="eastAsia" w:ascii="宋体" w:hAnsi="宋体" w:cs="宋体"/>
                <w:color w:val="000000"/>
                <w:kern w:val="0"/>
                <w:sz w:val="24"/>
                <w:szCs w:val="20"/>
              </w:rPr>
              <w:t>、能够支持增、删、改、重命名、修改属性等篡改行为的检测和阻断。</w:t>
            </w:r>
          </w:p>
        </w:tc>
      </w:tr>
      <w:tr w14:paraId="66E6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362" w:type="pct"/>
            <w:shd w:val="clear" w:color="auto" w:fill="auto"/>
            <w:noWrap/>
            <w:vAlign w:val="center"/>
          </w:tcPr>
          <w:p w14:paraId="079ECB15">
            <w:pPr>
              <w:widowControl/>
              <w:jc w:val="center"/>
              <w:rPr>
                <w:rFonts w:ascii="宋体" w:hAnsi="宋体" w:cs="宋体"/>
                <w:color w:val="000000"/>
                <w:kern w:val="0"/>
                <w:sz w:val="24"/>
                <w:szCs w:val="20"/>
              </w:rPr>
            </w:pPr>
            <w:r>
              <w:rPr>
                <w:rFonts w:ascii="宋体" w:hAnsi="宋体" w:cs="宋体"/>
                <w:color w:val="000000"/>
                <w:kern w:val="0"/>
                <w:sz w:val="24"/>
                <w:szCs w:val="20"/>
              </w:rPr>
              <w:t>4</w:t>
            </w:r>
          </w:p>
        </w:tc>
        <w:tc>
          <w:tcPr>
            <w:tcW w:w="651" w:type="pct"/>
            <w:shd w:val="clear" w:color="auto" w:fill="auto"/>
            <w:vAlign w:val="center"/>
          </w:tcPr>
          <w:p w14:paraId="1C9E9926">
            <w:pPr>
              <w:widowControl/>
              <w:jc w:val="left"/>
              <w:rPr>
                <w:rFonts w:ascii="宋体" w:hAnsi="宋体" w:cs="宋体"/>
                <w:color w:val="000000"/>
                <w:kern w:val="0"/>
                <w:sz w:val="24"/>
                <w:szCs w:val="20"/>
              </w:rPr>
            </w:pPr>
            <w:r>
              <w:rPr>
                <w:rFonts w:hint="eastAsia" w:ascii="宋体" w:hAnsi="宋体" w:cs="宋体"/>
                <w:color w:val="000000"/>
                <w:kern w:val="0"/>
                <w:sz w:val="24"/>
                <w:szCs w:val="20"/>
              </w:rPr>
              <w:t>端点安全管理服务工具</w:t>
            </w:r>
          </w:p>
        </w:tc>
        <w:tc>
          <w:tcPr>
            <w:tcW w:w="443" w:type="pct"/>
            <w:shd w:val="clear" w:color="auto" w:fill="auto"/>
            <w:noWrap/>
            <w:vAlign w:val="center"/>
          </w:tcPr>
          <w:p w14:paraId="221C6464">
            <w:pPr>
              <w:widowControl/>
              <w:jc w:val="center"/>
              <w:rPr>
                <w:rFonts w:ascii="宋体" w:hAnsi="宋体" w:cs="宋体"/>
                <w:color w:val="000000"/>
                <w:kern w:val="0"/>
                <w:sz w:val="24"/>
                <w:szCs w:val="20"/>
              </w:rPr>
            </w:pPr>
            <w:r>
              <w:rPr>
                <w:rFonts w:hint="eastAsia" w:ascii="宋体" w:hAnsi="宋体" w:cs="宋体"/>
                <w:color w:val="000000"/>
                <w:kern w:val="0"/>
                <w:sz w:val="24"/>
                <w:szCs w:val="20"/>
              </w:rPr>
              <w:t>1套</w:t>
            </w:r>
          </w:p>
        </w:tc>
        <w:tc>
          <w:tcPr>
            <w:tcW w:w="3544" w:type="pct"/>
            <w:shd w:val="clear" w:color="auto" w:fill="auto"/>
            <w:vAlign w:val="center"/>
          </w:tcPr>
          <w:p w14:paraId="11B4377D">
            <w:pPr>
              <w:widowControl/>
              <w:jc w:val="left"/>
              <w:rPr>
                <w:rFonts w:ascii="宋体" w:hAnsi="宋体" w:cs="宋体"/>
                <w:color w:val="000000"/>
                <w:kern w:val="0"/>
                <w:sz w:val="24"/>
                <w:szCs w:val="20"/>
              </w:rPr>
            </w:pPr>
            <w:r>
              <w:rPr>
                <w:rFonts w:hint="eastAsia" w:ascii="宋体" w:hAnsi="宋体" w:cs="宋体"/>
                <w:color w:val="000000"/>
                <w:kern w:val="0"/>
                <w:sz w:val="24"/>
                <w:szCs w:val="20"/>
              </w:rPr>
              <w:t>提供200个服务器客户端,780个PC客户端授权</w:t>
            </w:r>
            <w:r>
              <w:rPr>
                <w:rFonts w:hint="eastAsia" w:ascii="宋体" w:hAnsi="宋体" w:cs="宋体"/>
                <w:color w:val="000000"/>
                <w:kern w:val="0"/>
                <w:sz w:val="24"/>
                <w:szCs w:val="20"/>
              </w:rPr>
              <w:br w:type="textWrapping"/>
            </w:r>
            <w:r>
              <w:rPr>
                <w:rFonts w:hint="eastAsia" w:ascii="宋体" w:hAnsi="宋体" w:cs="宋体"/>
                <w:color w:val="000000"/>
                <w:kern w:val="0"/>
                <w:sz w:val="24"/>
                <w:szCs w:val="20"/>
              </w:rPr>
              <w:t>1、支持自定义拦截终端软件弹窗，可在终端设置自动拦截骚扰弹窗开关。</w:t>
            </w:r>
          </w:p>
          <w:p w14:paraId="08B65BF5">
            <w:pPr>
              <w:widowControl/>
              <w:jc w:val="left"/>
              <w:rPr>
                <w:rFonts w:ascii="宋体" w:hAnsi="宋体" w:cs="宋体"/>
                <w:color w:val="000000"/>
                <w:kern w:val="0"/>
                <w:sz w:val="24"/>
                <w:szCs w:val="20"/>
              </w:rPr>
            </w:pPr>
            <w:r>
              <w:rPr>
                <w:rFonts w:hint="eastAsia" w:ascii="宋体" w:hAnsi="宋体" w:cs="宋体"/>
                <w:color w:val="000000"/>
                <w:kern w:val="0"/>
                <w:sz w:val="24"/>
                <w:szCs w:val="20"/>
              </w:rPr>
              <w:t>2、支持应用管控功能，内置常用的系统应用，包括IM、下载工具、代理工具、办公软件等，并且支持新增自定义应用，辅助客户限制恶意软件、盗版软件的使用，加强正版软件配置规范建设，事前可拦截终端进程运行，事中可结束终端应用的运行，事后可审计进程管控日志</w:t>
            </w:r>
          </w:p>
          <w:p w14:paraId="07F1AF46">
            <w:pPr>
              <w:widowControl/>
              <w:jc w:val="left"/>
              <w:rPr>
                <w:rFonts w:ascii="宋体" w:hAnsi="宋体" w:cs="宋体"/>
                <w:color w:val="000000"/>
                <w:kern w:val="0"/>
                <w:sz w:val="24"/>
                <w:szCs w:val="20"/>
              </w:rPr>
            </w:pPr>
            <w:r>
              <w:rPr>
                <w:rFonts w:hint="eastAsia" w:ascii="宋体" w:hAnsi="宋体" w:cs="宋体"/>
                <w:color w:val="000000"/>
                <w:kern w:val="0"/>
                <w:sz w:val="24"/>
                <w:szCs w:val="20"/>
              </w:rPr>
              <w:t>3、支持显示攻击事件命中的ATT&amp;CK相关技术，并对此技术做简要说明。便于用户了解攻击者的操作行为和目的，评估整体影响面</w:t>
            </w:r>
          </w:p>
          <w:p w14:paraId="5CE49D8C">
            <w:pPr>
              <w:widowControl/>
              <w:jc w:val="left"/>
              <w:rPr>
                <w:rFonts w:ascii="宋体" w:hAnsi="宋体" w:cs="宋体"/>
                <w:color w:val="000000"/>
                <w:kern w:val="0"/>
                <w:sz w:val="24"/>
                <w:szCs w:val="20"/>
              </w:rPr>
            </w:pPr>
            <w:r>
              <w:rPr>
                <w:rFonts w:hint="eastAsia" w:ascii="宋体" w:hAnsi="宋体" w:cs="宋体"/>
                <w:color w:val="000000"/>
                <w:kern w:val="0"/>
                <w:sz w:val="24"/>
                <w:szCs w:val="20"/>
              </w:rPr>
              <w:t>4、支持内存马检测功能，在检测到进程被注入和进程新建时，主动调用内存马检测引擎进行相关进程扫描检测，检测到内存马后产生告警并可提供举证信息（进程信息、检测时间等）</w:t>
            </w:r>
          </w:p>
          <w:p w14:paraId="5379EFE8">
            <w:pPr>
              <w:widowControl/>
              <w:jc w:val="left"/>
              <w:rPr>
                <w:rFonts w:ascii="宋体" w:hAnsi="宋体" w:cs="宋体"/>
                <w:color w:val="000000"/>
                <w:kern w:val="0"/>
                <w:sz w:val="24"/>
                <w:szCs w:val="20"/>
              </w:rPr>
            </w:pPr>
            <w:r>
              <w:rPr>
                <w:rFonts w:hint="eastAsia" w:ascii="宋体" w:hAnsi="宋体" w:cs="宋体"/>
                <w:color w:val="000000"/>
                <w:kern w:val="0"/>
                <w:sz w:val="24"/>
                <w:szCs w:val="20"/>
              </w:rPr>
              <w:t>5、支持基于终端侧采集记录的行为数据，对文件变更、进程变更、网络连接、DNS查询等多种行为，在全网中搜索命中指定条件的端点和行为，进行高级威胁的狩猎对全网终端发起威胁狩猎，挖掘潜伏攻击</w:t>
            </w:r>
          </w:p>
          <w:p w14:paraId="18C6D53D">
            <w:pPr>
              <w:widowControl/>
              <w:jc w:val="left"/>
              <w:rPr>
                <w:rFonts w:ascii="宋体" w:hAnsi="宋体" w:cs="宋体"/>
                <w:color w:val="000000"/>
                <w:kern w:val="0"/>
                <w:sz w:val="24"/>
                <w:szCs w:val="20"/>
              </w:rPr>
            </w:pPr>
            <w:r>
              <w:rPr>
                <w:rFonts w:hint="eastAsia" w:ascii="宋体" w:hAnsi="宋体" w:cs="宋体"/>
                <w:color w:val="000000"/>
                <w:kern w:val="0"/>
                <w:sz w:val="24"/>
                <w:szCs w:val="20"/>
              </w:rPr>
              <w:t>6、支持对已停止更新的Windows系统的全网一键清点，管理员可快速筛选出全网已停止更新的Windows系统的数量和具体的终端</w:t>
            </w:r>
          </w:p>
          <w:p w14:paraId="3752D265">
            <w:pPr>
              <w:widowControl/>
              <w:jc w:val="left"/>
              <w:rPr>
                <w:rFonts w:ascii="宋体" w:hAnsi="宋体" w:cs="宋体"/>
                <w:color w:val="000000"/>
                <w:kern w:val="0"/>
                <w:sz w:val="24"/>
                <w:szCs w:val="20"/>
              </w:rPr>
            </w:pPr>
            <w:r>
              <w:rPr>
                <w:rFonts w:hint="eastAsia" w:ascii="宋体" w:hAnsi="宋体" w:cs="宋体"/>
                <w:color w:val="000000"/>
                <w:kern w:val="0"/>
                <w:sz w:val="24"/>
                <w:szCs w:val="20"/>
              </w:rPr>
              <w:t>7、支持按照扫描网段、扫描方式、扫描协议、扫描端口对终端进行扫描，及时发现尚未纳入管控的终端</w:t>
            </w:r>
          </w:p>
          <w:p w14:paraId="3DD61A22">
            <w:pPr>
              <w:widowControl/>
              <w:jc w:val="left"/>
              <w:rPr>
                <w:rFonts w:ascii="宋体" w:hAnsi="宋体" w:cs="宋体"/>
                <w:color w:val="000000"/>
                <w:kern w:val="0"/>
                <w:sz w:val="24"/>
                <w:szCs w:val="20"/>
              </w:rPr>
            </w:pPr>
            <w:r>
              <w:rPr>
                <w:rFonts w:hint="eastAsia" w:ascii="宋体" w:hAnsi="宋体" w:cs="宋体"/>
                <w:color w:val="000000"/>
                <w:kern w:val="0"/>
                <w:sz w:val="24"/>
                <w:szCs w:val="20"/>
              </w:rPr>
              <w:t>8、支持暴露面梳理功能，可以快速识别环境中暴露在外网的端口及应用，当检测到有来自于外网的IP地址访问时，判定该资产为外网暴露面资产，帮助用户高效梳理资产脆弱面</w:t>
            </w:r>
          </w:p>
          <w:p w14:paraId="06128CBF">
            <w:pPr>
              <w:widowControl/>
              <w:jc w:val="left"/>
              <w:rPr>
                <w:rFonts w:ascii="宋体" w:hAnsi="宋体" w:cs="宋体"/>
                <w:color w:val="000000"/>
                <w:kern w:val="0"/>
                <w:sz w:val="24"/>
                <w:szCs w:val="20"/>
              </w:rPr>
            </w:pPr>
            <w:r>
              <w:rPr>
                <w:rFonts w:hint="eastAsia" w:ascii="宋体" w:hAnsi="宋体" w:cs="宋体"/>
                <w:color w:val="000000"/>
                <w:kern w:val="0"/>
                <w:sz w:val="24"/>
                <w:szCs w:val="20"/>
              </w:rPr>
              <w:t>9、可通过多维度引擎进行漏斗式检测，保障查杀效果在低误报率的情况下保持高检出率</w:t>
            </w:r>
          </w:p>
          <w:p w14:paraId="4ED7DCA8">
            <w:pPr>
              <w:widowControl/>
              <w:jc w:val="left"/>
              <w:rPr>
                <w:rFonts w:ascii="宋体" w:hAnsi="宋体" w:cs="宋体"/>
                <w:color w:val="000000"/>
                <w:kern w:val="0"/>
                <w:sz w:val="24"/>
                <w:szCs w:val="20"/>
              </w:rPr>
            </w:pPr>
            <w:r>
              <w:rPr>
                <w:rFonts w:hint="eastAsia" w:ascii="宋体" w:hAnsi="宋体" w:cs="宋体"/>
                <w:color w:val="000000"/>
                <w:kern w:val="0"/>
                <w:sz w:val="24"/>
                <w:szCs w:val="20"/>
              </w:rPr>
              <w:t>10、支持agent性能保护兜底机制，可设置agent主进程、威胁检测、病毒查杀等进程的资源占用阈值，当进程资源占用达到阈值时，进程会自动重启</w:t>
            </w:r>
          </w:p>
          <w:p w14:paraId="17F996E6">
            <w:pPr>
              <w:widowControl/>
              <w:jc w:val="left"/>
              <w:rPr>
                <w:rFonts w:ascii="宋体" w:hAnsi="宋体" w:cs="宋体"/>
                <w:color w:val="000000"/>
                <w:kern w:val="0"/>
                <w:sz w:val="24"/>
                <w:szCs w:val="20"/>
              </w:rPr>
            </w:pPr>
            <w:r>
              <w:rPr>
                <w:rFonts w:hint="eastAsia" w:ascii="宋体" w:hAnsi="宋体" w:cs="宋体"/>
                <w:color w:val="000000"/>
                <w:kern w:val="0"/>
                <w:sz w:val="24"/>
                <w:szCs w:val="20"/>
              </w:rPr>
              <w:t>11、服务器全量版支持全面防护：文件实时监控、勒索诱饵防护、静态文件AI引擎、动态勒索行为AI引擎、勒索攻击对抗、无文件攻击防护、RDP二次认证、SSH二次认证、可信进程防护、关键目录加固、Webshell防护、无文件攻击防护</w:t>
            </w:r>
          </w:p>
          <w:p w14:paraId="41C277E5">
            <w:pPr>
              <w:widowControl/>
              <w:jc w:val="left"/>
              <w:rPr>
                <w:rFonts w:ascii="宋体" w:hAnsi="宋体" w:cs="宋体"/>
                <w:color w:val="000000"/>
                <w:kern w:val="0"/>
                <w:sz w:val="24"/>
                <w:szCs w:val="20"/>
              </w:rPr>
            </w:pPr>
            <w:r>
              <w:rPr>
                <w:rFonts w:hint="eastAsia" w:ascii="宋体" w:hAnsi="宋体" w:cs="宋体"/>
                <w:color w:val="000000"/>
                <w:kern w:val="0"/>
                <w:sz w:val="24"/>
                <w:szCs w:val="20"/>
              </w:rPr>
              <w:t>灵敏检测：恶意文件检测、暴力破解检测、网端联动杀毒</w:t>
            </w:r>
          </w:p>
        </w:tc>
      </w:tr>
      <w:tr w14:paraId="30ADD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62" w:type="pct"/>
            <w:shd w:val="clear" w:color="auto" w:fill="auto"/>
            <w:noWrap/>
            <w:vAlign w:val="center"/>
          </w:tcPr>
          <w:p w14:paraId="61C4AAE1">
            <w:pPr>
              <w:widowControl/>
              <w:jc w:val="center"/>
              <w:rPr>
                <w:rFonts w:ascii="宋体" w:hAnsi="宋体" w:cs="宋体"/>
                <w:color w:val="000000"/>
                <w:kern w:val="0"/>
                <w:sz w:val="24"/>
                <w:szCs w:val="20"/>
              </w:rPr>
            </w:pPr>
            <w:r>
              <w:rPr>
                <w:rFonts w:ascii="宋体" w:hAnsi="宋体" w:cs="宋体"/>
                <w:color w:val="000000"/>
                <w:kern w:val="0"/>
                <w:sz w:val="24"/>
                <w:szCs w:val="20"/>
              </w:rPr>
              <w:t>5</w:t>
            </w:r>
          </w:p>
        </w:tc>
        <w:tc>
          <w:tcPr>
            <w:tcW w:w="651" w:type="pct"/>
            <w:shd w:val="clear" w:color="auto" w:fill="auto"/>
            <w:vAlign w:val="center"/>
          </w:tcPr>
          <w:p w14:paraId="6B8ED8F7">
            <w:pPr>
              <w:widowControl/>
              <w:jc w:val="left"/>
              <w:rPr>
                <w:rFonts w:ascii="宋体" w:hAnsi="宋体" w:cs="宋体"/>
                <w:color w:val="000000"/>
                <w:kern w:val="0"/>
                <w:sz w:val="24"/>
                <w:szCs w:val="20"/>
              </w:rPr>
            </w:pPr>
            <w:r>
              <w:rPr>
                <w:rFonts w:hint="eastAsia" w:ascii="宋体" w:hAnsi="宋体" w:cs="宋体"/>
                <w:color w:val="000000"/>
                <w:kern w:val="0"/>
                <w:sz w:val="24"/>
                <w:szCs w:val="20"/>
              </w:rPr>
              <w:t>威胁检测响应服务工具</w:t>
            </w:r>
          </w:p>
        </w:tc>
        <w:tc>
          <w:tcPr>
            <w:tcW w:w="443" w:type="pct"/>
            <w:shd w:val="clear" w:color="auto" w:fill="auto"/>
            <w:noWrap/>
            <w:vAlign w:val="center"/>
          </w:tcPr>
          <w:p w14:paraId="5D68494C">
            <w:pPr>
              <w:widowControl/>
              <w:jc w:val="center"/>
              <w:rPr>
                <w:rFonts w:ascii="宋体" w:hAnsi="宋体" w:cs="宋体"/>
                <w:color w:val="000000"/>
                <w:kern w:val="0"/>
                <w:sz w:val="24"/>
                <w:szCs w:val="20"/>
              </w:rPr>
            </w:pPr>
            <w:r>
              <w:rPr>
                <w:rFonts w:hint="eastAsia" w:ascii="宋体" w:hAnsi="宋体" w:cs="宋体"/>
                <w:color w:val="000000"/>
                <w:kern w:val="0"/>
                <w:sz w:val="24"/>
                <w:szCs w:val="20"/>
              </w:rPr>
              <w:t>1套</w:t>
            </w:r>
          </w:p>
        </w:tc>
        <w:tc>
          <w:tcPr>
            <w:tcW w:w="3544" w:type="pct"/>
            <w:shd w:val="clear" w:color="auto" w:fill="auto"/>
            <w:vAlign w:val="center"/>
          </w:tcPr>
          <w:p w14:paraId="05E49A37">
            <w:pPr>
              <w:widowControl/>
              <w:jc w:val="left"/>
              <w:rPr>
                <w:rFonts w:ascii="宋体" w:hAnsi="宋体" w:cs="宋体"/>
                <w:color w:val="000000"/>
                <w:kern w:val="0"/>
                <w:sz w:val="24"/>
                <w:szCs w:val="20"/>
              </w:rPr>
            </w:pPr>
            <w:r>
              <w:rPr>
                <w:rFonts w:hint="eastAsia" w:ascii="宋体" w:hAnsi="宋体" w:cs="宋体"/>
                <w:color w:val="000000"/>
                <w:kern w:val="0"/>
                <w:sz w:val="24"/>
                <w:szCs w:val="20"/>
              </w:rPr>
              <w:t>1、支持网络侧遥测数据采集20种，包含脆弱性风险、访问风险、服务探测、主机探测、网站攻击、后门通信、账号爆破、攻击利用、邮件攻击、Dos攻击、黑链、漏洞攻击、黑客工具、数据库攻击利用、访问恶意文件、感染病毒、行为异常、流量异常、登录异常、流量审计日志、Payload等</w:t>
            </w:r>
          </w:p>
          <w:p w14:paraId="14E3B722">
            <w:pPr>
              <w:widowControl/>
              <w:jc w:val="left"/>
              <w:rPr>
                <w:rFonts w:ascii="宋体" w:hAnsi="宋体" w:cs="宋体"/>
                <w:color w:val="000000"/>
                <w:kern w:val="0"/>
                <w:sz w:val="24"/>
                <w:szCs w:val="20"/>
              </w:rPr>
            </w:pPr>
            <w:r>
              <w:rPr>
                <w:rFonts w:hint="eastAsia" w:ascii="宋体" w:hAnsi="宋体" w:cs="宋体"/>
                <w:color w:val="000000"/>
                <w:kern w:val="0"/>
                <w:sz w:val="24"/>
                <w:szCs w:val="20"/>
              </w:rPr>
              <w:t>2、支持自定义仪表盘，内置安全事件/告警视图、资产视图、脆弱性风险视图、风险资产视图等模板，展示图表样例包括条形图、水平条形图、趋势图、饼图、表格、指标、Markdown等，可编辑背景及标题样式，可全局预览</w:t>
            </w:r>
          </w:p>
          <w:p w14:paraId="6F4BD6C3">
            <w:pPr>
              <w:widowControl/>
              <w:jc w:val="left"/>
              <w:rPr>
                <w:rFonts w:ascii="宋体" w:hAnsi="宋体" w:cs="宋体"/>
                <w:color w:val="000000"/>
                <w:kern w:val="0"/>
                <w:sz w:val="24"/>
                <w:szCs w:val="20"/>
              </w:rPr>
            </w:pPr>
            <w:r>
              <w:rPr>
                <w:rFonts w:hint="eastAsia" w:ascii="宋体" w:hAnsi="宋体" w:cs="宋体"/>
                <w:color w:val="000000"/>
                <w:kern w:val="0"/>
                <w:sz w:val="24"/>
                <w:szCs w:val="20"/>
              </w:rPr>
              <w:t>3、支持自定义可视化组件，可设置组件类型（包括柱形图、水平条形图、趋势图、饼图、表格、指标、Markdown等形式）、资产范围、聚合维度（字段、排序）、度量（字段、计算方式）。</w:t>
            </w:r>
          </w:p>
          <w:p w14:paraId="73468844">
            <w:pPr>
              <w:widowControl/>
              <w:jc w:val="left"/>
              <w:rPr>
                <w:rFonts w:ascii="宋体" w:hAnsi="宋体" w:cs="宋体"/>
                <w:color w:val="000000"/>
                <w:kern w:val="0"/>
                <w:sz w:val="24"/>
                <w:szCs w:val="20"/>
              </w:rPr>
            </w:pPr>
            <w:r>
              <w:rPr>
                <w:rFonts w:hint="eastAsia" w:ascii="宋体" w:hAnsi="宋体" w:cs="宋体"/>
                <w:color w:val="000000"/>
                <w:kern w:val="0"/>
                <w:sz w:val="24"/>
                <w:szCs w:val="20"/>
              </w:rPr>
              <w:t>4、支持自定义报告生成，包括时间、报告组件、可视化组件、图标设置及文字编辑，可上传自定义页眉和自动化目录生成，支持预览和导出。</w:t>
            </w:r>
          </w:p>
          <w:p w14:paraId="06238EE1">
            <w:pPr>
              <w:widowControl/>
              <w:jc w:val="left"/>
              <w:rPr>
                <w:rFonts w:ascii="宋体" w:hAnsi="宋体" w:cs="宋体"/>
                <w:color w:val="000000"/>
                <w:kern w:val="0"/>
                <w:sz w:val="24"/>
                <w:szCs w:val="20"/>
              </w:rPr>
            </w:pPr>
            <w:r>
              <w:rPr>
                <w:rFonts w:hint="eastAsia" w:ascii="宋体" w:hAnsi="宋体" w:cs="宋体"/>
                <w:color w:val="000000"/>
                <w:kern w:val="0"/>
                <w:sz w:val="24"/>
                <w:szCs w:val="20"/>
              </w:rPr>
              <w:t>5、支持数据分析，支持内置CC通信、VPN安全、主机异常、堡垒机安全、恶意软件、扫描探测、拒绝服务、暴力破解、漏洞利用、网站攻击、邮件安全等维度的数据分析规则不低于100条。可自定义新增匹配或统计规则，可启用或禁用解析规则。</w:t>
            </w:r>
          </w:p>
          <w:p w14:paraId="4F14E981">
            <w:pPr>
              <w:widowControl/>
              <w:jc w:val="left"/>
              <w:rPr>
                <w:rFonts w:ascii="宋体" w:hAnsi="宋体" w:cs="宋体"/>
                <w:color w:val="000000"/>
                <w:kern w:val="0"/>
                <w:sz w:val="24"/>
                <w:szCs w:val="20"/>
              </w:rPr>
            </w:pPr>
            <w:r>
              <w:rPr>
                <w:rFonts w:hint="eastAsia" w:ascii="宋体" w:hAnsi="宋体" w:cs="宋体"/>
                <w:color w:val="000000"/>
                <w:kern w:val="0"/>
                <w:sz w:val="24"/>
                <w:szCs w:val="20"/>
              </w:rPr>
              <w:t>6、支持多面板功能，用户可以在安全告警页面增加/删除/修改告警面板并保存下来，方便后续使用</w:t>
            </w:r>
          </w:p>
        </w:tc>
      </w:tr>
    </w:tbl>
    <w:p w14:paraId="54F100C1">
      <w:pPr>
        <w:ind w:firstLine="420" w:firstLineChars="150"/>
        <w:jc w:val="left"/>
        <w:rPr>
          <w:rFonts w:ascii="宋体" w:hAnsi="宋体"/>
          <w:bCs/>
          <w:sz w:val="28"/>
          <w:szCs w:val="28"/>
        </w:rPr>
      </w:pPr>
    </w:p>
    <w:p w14:paraId="25960C01">
      <w:pPr>
        <w:jc w:val="left"/>
        <w:rPr>
          <w:rFonts w:ascii="宋体" w:hAnsi="宋体"/>
          <w:bCs/>
          <w:sz w:val="28"/>
          <w:szCs w:val="28"/>
        </w:rPr>
      </w:pPr>
      <w:r>
        <w:rPr>
          <w:rFonts w:hint="eastAsia" w:ascii="宋体" w:hAnsi="宋体"/>
          <w:bCs/>
          <w:sz w:val="28"/>
          <w:szCs w:val="28"/>
        </w:rPr>
        <w:t>5、服务考核及违约赔偿</w:t>
      </w:r>
    </w:p>
    <w:p w14:paraId="1DB0D832">
      <w:pPr>
        <w:ind w:firstLine="565" w:firstLineChars="202"/>
        <w:rPr>
          <w:rFonts w:ascii="宋体" w:hAnsi="宋体"/>
          <w:sz w:val="28"/>
          <w:szCs w:val="28"/>
        </w:rPr>
      </w:pPr>
      <w:r>
        <w:rPr>
          <w:rFonts w:hint="eastAsia" w:ascii="宋体" w:hAnsi="宋体"/>
          <w:sz w:val="28"/>
          <w:szCs w:val="28"/>
        </w:rPr>
        <w:t>院方按照以下责任考核制度和处罚机制定期对中标人进行考核，责任考核制度和处罚机制均在合同签订之日起3个月后开始生效。</w:t>
      </w:r>
    </w:p>
    <w:tbl>
      <w:tblPr>
        <w:tblStyle w:val="25"/>
        <w:tblpPr w:leftFromText="180" w:rightFromText="180" w:vertAnchor="text" w:horzAnchor="margin" w:tblpXSpec="center" w:tblpY="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1176"/>
        <w:gridCol w:w="3232"/>
        <w:gridCol w:w="3344"/>
      </w:tblGrid>
      <w:tr w14:paraId="18D07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1" w:type="pct"/>
            <w:shd w:val="clear" w:color="auto" w:fill="auto"/>
            <w:noWrap/>
            <w:vAlign w:val="bottom"/>
          </w:tcPr>
          <w:p w14:paraId="262858B3">
            <w:pPr>
              <w:widowControl/>
              <w:jc w:val="center"/>
              <w:rPr>
                <w:rFonts w:asciiTheme="minorEastAsia" w:hAnsiTheme="minorEastAsia" w:eastAsiaTheme="minorEastAsia"/>
                <w:sz w:val="24"/>
              </w:rPr>
            </w:pPr>
            <w:r>
              <w:rPr>
                <w:rFonts w:hint="eastAsia" w:asciiTheme="minorEastAsia" w:hAnsiTheme="minorEastAsia" w:eastAsiaTheme="minorEastAsia"/>
                <w:sz w:val="24"/>
              </w:rPr>
              <w:t xml:space="preserve">序号 </w:t>
            </w:r>
          </w:p>
        </w:tc>
        <w:tc>
          <w:tcPr>
            <w:tcW w:w="348" w:type="pct"/>
            <w:shd w:val="clear" w:color="auto" w:fill="auto"/>
            <w:noWrap/>
            <w:vAlign w:val="bottom"/>
          </w:tcPr>
          <w:p w14:paraId="7B8FDAA9">
            <w:pPr>
              <w:widowControl/>
              <w:jc w:val="center"/>
              <w:rPr>
                <w:rFonts w:asciiTheme="minorEastAsia" w:hAnsiTheme="minorEastAsia" w:eastAsiaTheme="minorEastAsia"/>
                <w:sz w:val="24"/>
              </w:rPr>
            </w:pPr>
            <w:r>
              <w:rPr>
                <w:rFonts w:hint="eastAsia" w:asciiTheme="minorEastAsia" w:hAnsiTheme="minorEastAsia" w:eastAsiaTheme="minorEastAsia"/>
                <w:sz w:val="24"/>
              </w:rPr>
              <w:t xml:space="preserve">考核大类 </w:t>
            </w:r>
          </w:p>
        </w:tc>
        <w:tc>
          <w:tcPr>
            <w:tcW w:w="427" w:type="pct"/>
            <w:shd w:val="clear" w:color="auto" w:fill="auto"/>
            <w:noWrap/>
            <w:vAlign w:val="bottom"/>
          </w:tcPr>
          <w:p w14:paraId="04CF3ADC">
            <w:pPr>
              <w:widowControl/>
              <w:jc w:val="center"/>
              <w:rPr>
                <w:rFonts w:asciiTheme="minorEastAsia" w:hAnsiTheme="minorEastAsia" w:eastAsiaTheme="minorEastAsia"/>
                <w:sz w:val="24"/>
              </w:rPr>
            </w:pPr>
            <w:r>
              <w:rPr>
                <w:rFonts w:hint="eastAsia" w:asciiTheme="minorEastAsia" w:hAnsiTheme="minorEastAsia" w:eastAsiaTheme="minorEastAsia"/>
                <w:sz w:val="24"/>
              </w:rPr>
              <w:t xml:space="preserve">考核项目 </w:t>
            </w:r>
          </w:p>
        </w:tc>
        <w:tc>
          <w:tcPr>
            <w:tcW w:w="1928" w:type="pct"/>
            <w:shd w:val="clear" w:color="auto" w:fill="auto"/>
            <w:noWrap/>
            <w:vAlign w:val="center"/>
          </w:tcPr>
          <w:p w14:paraId="12DF7913">
            <w:pPr>
              <w:widowControl/>
              <w:jc w:val="center"/>
              <w:rPr>
                <w:rFonts w:asciiTheme="minorEastAsia" w:hAnsiTheme="minorEastAsia" w:eastAsiaTheme="minorEastAsia"/>
                <w:sz w:val="24"/>
              </w:rPr>
            </w:pPr>
            <w:r>
              <w:rPr>
                <w:rFonts w:hint="eastAsia" w:asciiTheme="minorEastAsia" w:hAnsiTheme="minorEastAsia" w:eastAsiaTheme="minorEastAsia"/>
                <w:sz w:val="24"/>
              </w:rPr>
              <w:t>考核说明</w:t>
            </w:r>
          </w:p>
        </w:tc>
        <w:tc>
          <w:tcPr>
            <w:tcW w:w="1986" w:type="pct"/>
            <w:shd w:val="clear" w:color="auto" w:fill="auto"/>
            <w:noWrap/>
            <w:vAlign w:val="center"/>
          </w:tcPr>
          <w:p w14:paraId="15A0ECFF">
            <w:pPr>
              <w:widowControl/>
              <w:jc w:val="center"/>
              <w:rPr>
                <w:rFonts w:asciiTheme="minorEastAsia" w:hAnsiTheme="minorEastAsia" w:eastAsiaTheme="minorEastAsia"/>
                <w:sz w:val="24"/>
              </w:rPr>
            </w:pPr>
            <w:r>
              <w:rPr>
                <w:rFonts w:hint="eastAsia" w:asciiTheme="minorEastAsia" w:hAnsiTheme="minorEastAsia" w:eastAsiaTheme="minorEastAsia"/>
                <w:sz w:val="24"/>
              </w:rPr>
              <w:t>罚则</w:t>
            </w:r>
          </w:p>
        </w:tc>
      </w:tr>
      <w:tr w14:paraId="2B92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11" w:type="pct"/>
            <w:shd w:val="clear" w:color="auto" w:fill="auto"/>
            <w:noWrap/>
            <w:vAlign w:val="center"/>
          </w:tcPr>
          <w:p w14:paraId="1D222CAA">
            <w:pPr>
              <w:widowControl/>
              <w:jc w:val="center"/>
              <w:rPr>
                <w:rFonts w:asciiTheme="minorEastAsia" w:hAnsiTheme="minorEastAsia" w:eastAsiaTheme="minorEastAsia"/>
                <w:sz w:val="24"/>
              </w:rPr>
            </w:pPr>
            <w:r>
              <w:rPr>
                <w:rFonts w:hint="eastAsia" w:asciiTheme="minorEastAsia" w:hAnsiTheme="minorEastAsia" w:eastAsiaTheme="minorEastAsia"/>
                <w:sz w:val="24"/>
              </w:rPr>
              <w:t>1</w:t>
            </w:r>
          </w:p>
        </w:tc>
        <w:tc>
          <w:tcPr>
            <w:tcW w:w="348" w:type="pct"/>
            <w:vMerge w:val="restart"/>
            <w:shd w:val="clear" w:color="auto" w:fill="auto"/>
            <w:vAlign w:val="center"/>
          </w:tcPr>
          <w:p w14:paraId="72BCA300">
            <w:pPr>
              <w:widowControl/>
              <w:jc w:val="center"/>
              <w:rPr>
                <w:rFonts w:asciiTheme="minorEastAsia" w:hAnsiTheme="minorEastAsia" w:eastAsiaTheme="minorEastAsia"/>
                <w:sz w:val="24"/>
              </w:rPr>
            </w:pPr>
            <w:r>
              <w:rPr>
                <w:rFonts w:hint="eastAsia" w:asciiTheme="minorEastAsia" w:hAnsiTheme="minorEastAsia" w:eastAsiaTheme="minorEastAsia"/>
                <w:sz w:val="24"/>
              </w:rPr>
              <w:t xml:space="preserve">技术 </w:t>
            </w:r>
          </w:p>
        </w:tc>
        <w:tc>
          <w:tcPr>
            <w:tcW w:w="427" w:type="pct"/>
            <w:shd w:val="clear" w:color="auto" w:fill="auto"/>
            <w:vAlign w:val="center"/>
          </w:tcPr>
          <w:p w14:paraId="4396411C">
            <w:pPr>
              <w:widowControl/>
              <w:jc w:val="left"/>
              <w:rPr>
                <w:rFonts w:asciiTheme="minorEastAsia" w:hAnsiTheme="minorEastAsia" w:eastAsiaTheme="minorEastAsia"/>
                <w:sz w:val="24"/>
              </w:rPr>
            </w:pPr>
            <w:r>
              <w:rPr>
                <w:rFonts w:hint="eastAsia" w:asciiTheme="minorEastAsia" w:hAnsiTheme="minorEastAsia" w:eastAsiaTheme="minorEastAsia"/>
                <w:sz w:val="24"/>
              </w:rPr>
              <w:t>网络安全</w:t>
            </w:r>
          </w:p>
        </w:tc>
        <w:tc>
          <w:tcPr>
            <w:tcW w:w="1928" w:type="pct"/>
            <w:shd w:val="clear" w:color="auto" w:fill="auto"/>
            <w:vAlign w:val="center"/>
          </w:tcPr>
          <w:p w14:paraId="74AA203F">
            <w:pPr>
              <w:widowControl/>
              <w:jc w:val="left"/>
              <w:rPr>
                <w:rFonts w:asciiTheme="minorEastAsia" w:hAnsiTheme="minorEastAsia" w:eastAsiaTheme="minorEastAsia"/>
                <w:sz w:val="24"/>
              </w:rPr>
            </w:pPr>
            <w:r>
              <w:rPr>
                <w:rFonts w:hint="eastAsia" w:asciiTheme="minorEastAsia" w:hAnsiTheme="minorEastAsia" w:eastAsiaTheme="minorEastAsia"/>
                <w:sz w:val="24"/>
              </w:rPr>
              <w:t>因恶意病毒、安全攻击事件造成网络故障（不含设备故障类）影响超过20%的部门人员无法正常使用，包括无法连接互联网或内网正常连接请求无法响应等，造成网络瘫痪不可用。</w:t>
            </w:r>
          </w:p>
        </w:tc>
        <w:tc>
          <w:tcPr>
            <w:tcW w:w="1986" w:type="pct"/>
            <w:shd w:val="clear" w:color="auto" w:fill="auto"/>
            <w:vAlign w:val="center"/>
          </w:tcPr>
          <w:p w14:paraId="447D3629">
            <w:pPr>
              <w:widowControl/>
              <w:jc w:val="left"/>
              <w:rPr>
                <w:rFonts w:asciiTheme="minorEastAsia" w:hAnsiTheme="minorEastAsia" w:eastAsiaTheme="minorEastAsia"/>
                <w:sz w:val="24"/>
              </w:rPr>
            </w:pPr>
            <w:r>
              <w:rPr>
                <w:rFonts w:hint="eastAsia" w:asciiTheme="minorEastAsia" w:hAnsiTheme="minorEastAsia" w:eastAsiaTheme="minorEastAsia"/>
                <w:sz w:val="24"/>
              </w:rPr>
              <w:t>网络瘫痪超过1小时不可用，扣除本年度安全服务合同金额</w:t>
            </w:r>
            <w:r>
              <w:rPr>
                <w:rFonts w:asciiTheme="minorEastAsia" w:hAnsiTheme="minorEastAsia" w:eastAsiaTheme="minorEastAsia"/>
                <w:sz w:val="24"/>
              </w:rPr>
              <w:t>1</w:t>
            </w:r>
            <w:r>
              <w:rPr>
                <w:rFonts w:hint="eastAsia" w:asciiTheme="minorEastAsia" w:hAnsiTheme="minorEastAsia" w:eastAsiaTheme="minorEastAsia"/>
                <w:sz w:val="24"/>
              </w:rPr>
              <w:t>%；网络瘫痪超过2小时不可用，扣除本年度安全服务合同金额</w:t>
            </w:r>
            <w:r>
              <w:rPr>
                <w:rFonts w:asciiTheme="minorEastAsia" w:hAnsiTheme="minorEastAsia" w:eastAsiaTheme="minorEastAsia"/>
                <w:sz w:val="24"/>
              </w:rPr>
              <w:t>2</w:t>
            </w:r>
            <w:r>
              <w:rPr>
                <w:rFonts w:hint="eastAsia" w:asciiTheme="minorEastAsia" w:hAnsiTheme="minorEastAsia" w:eastAsiaTheme="minorEastAsia"/>
                <w:sz w:val="24"/>
              </w:rPr>
              <w:t>%。</w:t>
            </w:r>
          </w:p>
        </w:tc>
      </w:tr>
      <w:tr w14:paraId="7EEF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311" w:type="pct"/>
            <w:shd w:val="clear" w:color="auto" w:fill="auto"/>
            <w:noWrap/>
            <w:vAlign w:val="center"/>
          </w:tcPr>
          <w:p w14:paraId="24BCCF0D">
            <w:pPr>
              <w:widowControl/>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348" w:type="pct"/>
            <w:vMerge w:val="continue"/>
            <w:vAlign w:val="center"/>
          </w:tcPr>
          <w:p w14:paraId="2E0F7A95">
            <w:pPr>
              <w:widowControl/>
              <w:jc w:val="left"/>
              <w:rPr>
                <w:rFonts w:asciiTheme="minorEastAsia" w:hAnsiTheme="minorEastAsia" w:eastAsiaTheme="minorEastAsia"/>
                <w:sz w:val="24"/>
              </w:rPr>
            </w:pPr>
          </w:p>
        </w:tc>
        <w:tc>
          <w:tcPr>
            <w:tcW w:w="427" w:type="pct"/>
            <w:shd w:val="clear" w:color="auto" w:fill="auto"/>
            <w:vAlign w:val="center"/>
          </w:tcPr>
          <w:p w14:paraId="38F48C2C">
            <w:pPr>
              <w:widowControl/>
              <w:jc w:val="left"/>
              <w:rPr>
                <w:rFonts w:asciiTheme="minorEastAsia" w:hAnsiTheme="minorEastAsia" w:eastAsiaTheme="minorEastAsia"/>
                <w:sz w:val="24"/>
              </w:rPr>
            </w:pPr>
            <w:r>
              <w:rPr>
                <w:rFonts w:hint="eastAsia" w:asciiTheme="minorEastAsia" w:hAnsiTheme="minorEastAsia" w:eastAsiaTheme="minorEastAsia"/>
                <w:sz w:val="24"/>
              </w:rPr>
              <w:t xml:space="preserve">终端安全 </w:t>
            </w:r>
          </w:p>
        </w:tc>
        <w:tc>
          <w:tcPr>
            <w:tcW w:w="1928" w:type="pct"/>
            <w:shd w:val="clear" w:color="auto" w:fill="auto"/>
            <w:vAlign w:val="center"/>
          </w:tcPr>
          <w:p w14:paraId="6DED28E7">
            <w:pPr>
              <w:widowControl/>
              <w:jc w:val="left"/>
              <w:rPr>
                <w:rFonts w:asciiTheme="minorEastAsia" w:hAnsiTheme="minorEastAsia" w:eastAsiaTheme="minorEastAsia"/>
                <w:sz w:val="24"/>
              </w:rPr>
            </w:pPr>
            <w:r>
              <w:rPr>
                <w:rFonts w:hint="eastAsia" w:asciiTheme="minorEastAsia" w:hAnsiTheme="minorEastAsia" w:eastAsiaTheme="minorEastAsia"/>
                <w:sz w:val="24"/>
              </w:rPr>
              <w:t>发生内网终端安全病毒大面积传播，终端中病毒数量高于10%。</w:t>
            </w:r>
          </w:p>
        </w:tc>
        <w:tc>
          <w:tcPr>
            <w:tcW w:w="1986" w:type="pct"/>
            <w:shd w:val="clear" w:color="auto" w:fill="auto"/>
            <w:vAlign w:val="center"/>
          </w:tcPr>
          <w:p w14:paraId="5C09F519">
            <w:pPr>
              <w:widowControl/>
              <w:jc w:val="left"/>
              <w:rPr>
                <w:rFonts w:asciiTheme="minorEastAsia" w:hAnsiTheme="minorEastAsia" w:eastAsiaTheme="minorEastAsia"/>
                <w:sz w:val="24"/>
              </w:rPr>
            </w:pPr>
            <w:r>
              <w:rPr>
                <w:rFonts w:hint="eastAsia" w:asciiTheme="minorEastAsia" w:hAnsiTheme="minorEastAsia" w:eastAsiaTheme="minorEastAsia"/>
                <w:sz w:val="24"/>
              </w:rPr>
              <w:t>首次发生，扣除本年度安全服务合同金额</w:t>
            </w:r>
            <w:r>
              <w:rPr>
                <w:rFonts w:asciiTheme="minorEastAsia" w:hAnsiTheme="minorEastAsia" w:eastAsiaTheme="minorEastAsia"/>
                <w:sz w:val="24"/>
              </w:rPr>
              <w:t>1</w:t>
            </w:r>
            <w:r>
              <w:rPr>
                <w:rFonts w:hint="eastAsia" w:asciiTheme="minorEastAsia" w:hAnsiTheme="minorEastAsia" w:eastAsiaTheme="minorEastAsia"/>
                <w:sz w:val="24"/>
              </w:rPr>
              <w:t>%，第二次及以后，在上一次罚则的基础上，金额加</w:t>
            </w:r>
            <w:r>
              <w:rPr>
                <w:rFonts w:asciiTheme="minorEastAsia" w:hAnsiTheme="minorEastAsia" w:eastAsiaTheme="minorEastAsia"/>
                <w:sz w:val="24"/>
              </w:rPr>
              <w:t>2</w:t>
            </w:r>
            <w:r>
              <w:rPr>
                <w:rFonts w:hint="eastAsia" w:asciiTheme="minorEastAsia" w:hAnsiTheme="minorEastAsia" w:eastAsiaTheme="minorEastAsia"/>
                <w:sz w:val="24"/>
              </w:rPr>
              <w:t>%。</w:t>
            </w:r>
          </w:p>
        </w:tc>
      </w:tr>
      <w:tr w14:paraId="3196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311" w:type="pct"/>
            <w:shd w:val="clear" w:color="auto" w:fill="auto"/>
            <w:noWrap/>
            <w:vAlign w:val="center"/>
          </w:tcPr>
          <w:p w14:paraId="4FA3BA79">
            <w:pPr>
              <w:widowControl/>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348" w:type="pct"/>
            <w:vMerge w:val="continue"/>
            <w:vAlign w:val="center"/>
          </w:tcPr>
          <w:p w14:paraId="30A06441">
            <w:pPr>
              <w:widowControl/>
              <w:jc w:val="left"/>
              <w:rPr>
                <w:rFonts w:asciiTheme="minorEastAsia" w:hAnsiTheme="minorEastAsia" w:eastAsiaTheme="minorEastAsia"/>
                <w:sz w:val="24"/>
              </w:rPr>
            </w:pPr>
          </w:p>
        </w:tc>
        <w:tc>
          <w:tcPr>
            <w:tcW w:w="427" w:type="pct"/>
            <w:shd w:val="clear" w:color="auto" w:fill="auto"/>
            <w:vAlign w:val="center"/>
          </w:tcPr>
          <w:p w14:paraId="690B9179">
            <w:pPr>
              <w:widowControl/>
              <w:jc w:val="left"/>
              <w:rPr>
                <w:rFonts w:asciiTheme="minorEastAsia" w:hAnsiTheme="minorEastAsia" w:eastAsiaTheme="minorEastAsia"/>
                <w:sz w:val="24"/>
              </w:rPr>
            </w:pPr>
            <w:r>
              <w:rPr>
                <w:rFonts w:hint="eastAsia" w:asciiTheme="minorEastAsia" w:hAnsiTheme="minorEastAsia" w:eastAsiaTheme="minorEastAsia"/>
                <w:sz w:val="24"/>
              </w:rPr>
              <w:t xml:space="preserve">终端安全 </w:t>
            </w:r>
          </w:p>
        </w:tc>
        <w:tc>
          <w:tcPr>
            <w:tcW w:w="1928" w:type="pct"/>
            <w:shd w:val="clear" w:color="auto" w:fill="auto"/>
            <w:vAlign w:val="center"/>
          </w:tcPr>
          <w:p w14:paraId="37E5F850">
            <w:pPr>
              <w:widowControl/>
              <w:jc w:val="left"/>
              <w:rPr>
                <w:rFonts w:asciiTheme="minorEastAsia" w:hAnsiTheme="minorEastAsia" w:eastAsiaTheme="minorEastAsia"/>
                <w:sz w:val="24"/>
              </w:rPr>
            </w:pPr>
            <w:r>
              <w:rPr>
                <w:rFonts w:hint="eastAsia" w:asciiTheme="minorEastAsia" w:hAnsiTheme="minorEastAsia" w:eastAsiaTheme="minorEastAsia"/>
                <w:sz w:val="24"/>
              </w:rPr>
              <w:t>因终端安全问题造成业务部门业务中断或门急诊业务中断。</w:t>
            </w:r>
          </w:p>
        </w:tc>
        <w:tc>
          <w:tcPr>
            <w:tcW w:w="1986" w:type="pct"/>
            <w:shd w:val="clear" w:color="auto" w:fill="auto"/>
            <w:vAlign w:val="center"/>
          </w:tcPr>
          <w:p w14:paraId="6C16FB30">
            <w:pPr>
              <w:widowControl/>
              <w:jc w:val="left"/>
              <w:rPr>
                <w:rFonts w:asciiTheme="minorEastAsia" w:hAnsiTheme="minorEastAsia" w:eastAsiaTheme="minorEastAsia"/>
                <w:sz w:val="24"/>
              </w:rPr>
            </w:pPr>
            <w:r>
              <w:rPr>
                <w:rFonts w:hint="eastAsia" w:asciiTheme="minorEastAsia" w:hAnsiTheme="minorEastAsia" w:eastAsiaTheme="minorEastAsia"/>
                <w:sz w:val="24"/>
              </w:rPr>
              <w:t>业务部门业务中断超过1小时未修复，门急诊业务中断超过0.5小时未修复，扣除本年度安全服务合同金额</w:t>
            </w:r>
            <w:r>
              <w:rPr>
                <w:rFonts w:asciiTheme="minorEastAsia" w:hAnsiTheme="minorEastAsia" w:eastAsiaTheme="minorEastAsia"/>
                <w:sz w:val="24"/>
              </w:rPr>
              <w:t>1</w:t>
            </w:r>
            <w:r>
              <w:rPr>
                <w:rFonts w:hint="eastAsia" w:asciiTheme="minorEastAsia" w:hAnsiTheme="minorEastAsia" w:eastAsiaTheme="minorEastAsia"/>
                <w:sz w:val="24"/>
              </w:rPr>
              <w:t>%；业务部门业务中断超过2小时未修复，门急诊业务中断超过1小时未修复，扣除本年度安全服务合同金额</w:t>
            </w:r>
            <w:r>
              <w:rPr>
                <w:rFonts w:asciiTheme="minorEastAsia" w:hAnsiTheme="minorEastAsia" w:eastAsiaTheme="minorEastAsia"/>
                <w:sz w:val="24"/>
              </w:rPr>
              <w:t>2</w:t>
            </w:r>
            <w:r>
              <w:rPr>
                <w:rFonts w:hint="eastAsia" w:asciiTheme="minorEastAsia" w:hAnsiTheme="minorEastAsia" w:eastAsiaTheme="minorEastAsia"/>
                <w:sz w:val="24"/>
              </w:rPr>
              <w:t>%；</w:t>
            </w:r>
          </w:p>
        </w:tc>
      </w:tr>
      <w:tr w14:paraId="60751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11" w:type="pct"/>
            <w:shd w:val="clear" w:color="auto" w:fill="auto"/>
            <w:noWrap/>
            <w:vAlign w:val="center"/>
          </w:tcPr>
          <w:p w14:paraId="05407FA5">
            <w:pPr>
              <w:widowControl/>
              <w:jc w:val="center"/>
              <w:rPr>
                <w:rFonts w:asciiTheme="minorEastAsia" w:hAnsiTheme="minorEastAsia" w:eastAsiaTheme="minorEastAsia"/>
                <w:sz w:val="24"/>
              </w:rPr>
            </w:pPr>
            <w:r>
              <w:rPr>
                <w:rFonts w:hint="eastAsia" w:asciiTheme="minorEastAsia" w:hAnsiTheme="minorEastAsia" w:eastAsiaTheme="minorEastAsia"/>
                <w:sz w:val="24"/>
              </w:rPr>
              <w:t>4</w:t>
            </w:r>
          </w:p>
        </w:tc>
        <w:tc>
          <w:tcPr>
            <w:tcW w:w="348" w:type="pct"/>
            <w:vMerge w:val="restart"/>
            <w:shd w:val="clear" w:color="auto" w:fill="auto"/>
            <w:vAlign w:val="center"/>
          </w:tcPr>
          <w:p w14:paraId="31832F86">
            <w:pPr>
              <w:widowControl/>
              <w:jc w:val="center"/>
              <w:rPr>
                <w:rFonts w:asciiTheme="minorEastAsia" w:hAnsiTheme="minorEastAsia" w:eastAsiaTheme="minorEastAsia"/>
                <w:sz w:val="24"/>
              </w:rPr>
            </w:pPr>
            <w:r>
              <w:rPr>
                <w:rFonts w:hint="eastAsia" w:asciiTheme="minorEastAsia" w:hAnsiTheme="minorEastAsia" w:eastAsiaTheme="minorEastAsia"/>
                <w:sz w:val="24"/>
              </w:rPr>
              <w:t>质量</w:t>
            </w:r>
          </w:p>
        </w:tc>
        <w:tc>
          <w:tcPr>
            <w:tcW w:w="427" w:type="pct"/>
            <w:shd w:val="clear" w:color="auto" w:fill="auto"/>
            <w:vAlign w:val="center"/>
          </w:tcPr>
          <w:p w14:paraId="7DE7057D">
            <w:pPr>
              <w:widowControl/>
              <w:jc w:val="left"/>
              <w:rPr>
                <w:rFonts w:asciiTheme="minorEastAsia" w:hAnsiTheme="minorEastAsia" w:eastAsiaTheme="minorEastAsia"/>
                <w:sz w:val="24"/>
              </w:rPr>
            </w:pPr>
            <w:r>
              <w:rPr>
                <w:rFonts w:hint="eastAsia" w:asciiTheme="minorEastAsia" w:hAnsiTheme="minorEastAsia" w:eastAsiaTheme="minorEastAsia"/>
                <w:sz w:val="24"/>
              </w:rPr>
              <w:t xml:space="preserve">服务文档质量 </w:t>
            </w:r>
          </w:p>
        </w:tc>
        <w:tc>
          <w:tcPr>
            <w:tcW w:w="1928" w:type="pct"/>
            <w:shd w:val="clear" w:color="auto" w:fill="auto"/>
            <w:vAlign w:val="center"/>
          </w:tcPr>
          <w:p w14:paraId="46CFCBD7">
            <w:pPr>
              <w:widowControl/>
              <w:jc w:val="left"/>
              <w:rPr>
                <w:rFonts w:asciiTheme="minorEastAsia" w:hAnsiTheme="minorEastAsia" w:eastAsiaTheme="minorEastAsia"/>
                <w:sz w:val="24"/>
              </w:rPr>
            </w:pPr>
            <w:r>
              <w:rPr>
                <w:rFonts w:hint="eastAsia" w:asciiTheme="minorEastAsia" w:hAnsiTheme="minorEastAsia" w:eastAsiaTheme="minorEastAsia"/>
                <w:sz w:val="24"/>
              </w:rPr>
              <w:t>交付文档的质量不能满足客户模板及内容要求的</w:t>
            </w:r>
          </w:p>
        </w:tc>
        <w:tc>
          <w:tcPr>
            <w:tcW w:w="1986" w:type="pct"/>
            <w:shd w:val="clear" w:color="auto" w:fill="auto"/>
            <w:vAlign w:val="center"/>
          </w:tcPr>
          <w:p w14:paraId="216EB095">
            <w:pPr>
              <w:widowControl/>
              <w:jc w:val="left"/>
              <w:rPr>
                <w:rFonts w:asciiTheme="minorEastAsia" w:hAnsiTheme="minorEastAsia" w:eastAsiaTheme="minorEastAsia"/>
                <w:sz w:val="24"/>
              </w:rPr>
            </w:pPr>
            <w:r>
              <w:rPr>
                <w:rFonts w:hint="eastAsia" w:asciiTheme="minorEastAsia" w:hAnsiTheme="minorEastAsia" w:eastAsiaTheme="minorEastAsia"/>
                <w:sz w:val="24"/>
              </w:rPr>
              <w:t>首次发生,扣除本年度安全服务合同金额0.</w:t>
            </w:r>
            <w:r>
              <w:rPr>
                <w:rFonts w:asciiTheme="minorEastAsia" w:hAnsiTheme="minorEastAsia" w:eastAsiaTheme="minorEastAsia"/>
                <w:sz w:val="24"/>
              </w:rPr>
              <w:t>1</w:t>
            </w:r>
            <w:r>
              <w:rPr>
                <w:rFonts w:hint="eastAsia" w:asciiTheme="minorEastAsia" w:hAnsiTheme="minorEastAsia" w:eastAsiaTheme="minorEastAsia"/>
                <w:sz w:val="24"/>
              </w:rPr>
              <w:t>%，第二次及以后，在上一次罚则的基础上，金额加20%，每次罚款金额以0.5%为上限。</w:t>
            </w:r>
          </w:p>
        </w:tc>
      </w:tr>
      <w:tr w14:paraId="174F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11" w:type="pct"/>
            <w:shd w:val="clear" w:color="auto" w:fill="auto"/>
            <w:noWrap/>
            <w:vAlign w:val="center"/>
          </w:tcPr>
          <w:p w14:paraId="432AD5DC">
            <w:pPr>
              <w:widowControl/>
              <w:jc w:val="center"/>
              <w:rPr>
                <w:rFonts w:asciiTheme="minorEastAsia" w:hAnsiTheme="minorEastAsia" w:eastAsiaTheme="minorEastAsia"/>
                <w:sz w:val="24"/>
              </w:rPr>
            </w:pPr>
            <w:r>
              <w:rPr>
                <w:rFonts w:hint="eastAsia" w:asciiTheme="minorEastAsia" w:hAnsiTheme="minorEastAsia" w:eastAsiaTheme="minorEastAsia"/>
                <w:sz w:val="24"/>
              </w:rPr>
              <w:t>5</w:t>
            </w:r>
          </w:p>
        </w:tc>
        <w:tc>
          <w:tcPr>
            <w:tcW w:w="348" w:type="pct"/>
            <w:vMerge w:val="continue"/>
            <w:vAlign w:val="center"/>
          </w:tcPr>
          <w:p w14:paraId="0FC151A0">
            <w:pPr>
              <w:widowControl/>
              <w:jc w:val="left"/>
              <w:rPr>
                <w:rFonts w:asciiTheme="minorEastAsia" w:hAnsiTheme="minorEastAsia" w:eastAsiaTheme="minorEastAsia"/>
                <w:sz w:val="24"/>
              </w:rPr>
            </w:pPr>
          </w:p>
        </w:tc>
        <w:tc>
          <w:tcPr>
            <w:tcW w:w="427" w:type="pct"/>
            <w:shd w:val="clear" w:color="auto" w:fill="auto"/>
            <w:vAlign w:val="center"/>
          </w:tcPr>
          <w:p w14:paraId="5F1F2683">
            <w:pPr>
              <w:widowControl/>
              <w:jc w:val="left"/>
              <w:rPr>
                <w:rFonts w:asciiTheme="minorEastAsia" w:hAnsiTheme="minorEastAsia" w:eastAsiaTheme="minorEastAsia"/>
                <w:sz w:val="24"/>
              </w:rPr>
            </w:pPr>
            <w:r>
              <w:rPr>
                <w:rFonts w:hint="eastAsia" w:asciiTheme="minorEastAsia" w:hAnsiTheme="minorEastAsia" w:eastAsiaTheme="minorEastAsia"/>
                <w:sz w:val="24"/>
              </w:rPr>
              <w:t>问题解决质量</w:t>
            </w:r>
          </w:p>
        </w:tc>
        <w:tc>
          <w:tcPr>
            <w:tcW w:w="1928" w:type="pct"/>
            <w:shd w:val="clear" w:color="auto" w:fill="auto"/>
            <w:vAlign w:val="center"/>
          </w:tcPr>
          <w:p w14:paraId="3FB086F0">
            <w:pPr>
              <w:widowControl/>
              <w:jc w:val="left"/>
              <w:rPr>
                <w:rFonts w:asciiTheme="minorEastAsia" w:hAnsiTheme="minorEastAsia" w:eastAsiaTheme="minorEastAsia"/>
                <w:sz w:val="24"/>
              </w:rPr>
            </w:pPr>
            <w:r>
              <w:rPr>
                <w:rFonts w:hint="eastAsia" w:asciiTheme="minorEastAsia" w:hAnsiTheme="minorEastAsia" w:eastAsiaTheme="minorEastAsia"/>
                <w:sz w:val="24"/>
              </w:rPr>
              <w:t>发生服务质量问题后，是否能够给出合理的解释，以及完整、有效的解决方案。不能给出相关方案的。</w:t>
            </w:r>
          </w:p>
        </w:tc>
        <w:tc>
          <w:tcPr>
            <w:tcW w:w="1986" w:type="pct"/>
            <w:shd w:val="clear" w:color="auto" w:fill="auto"/>
            <w:vAlign w:val="center"/>
          </w:tcPr>
          <w:p w14:paraId="7E579E58">
            <w:pPr>
              <w:widowControl/>
              <w:jc w:val="left"/>
              <w:rPr>
                <w:rFonts w:asciiTheme="minorEastAsia" w:hAnsiTheme="minorEastAsia" w:eastAsiaTheme="minorEastAsia"/>
                <w:sz w:val="24"/>
              </w:rPr>
            </w:pPr>
            <w:r>
              <w:rPr>
                <w:rFonts w:hint="eastAsia" w:asciiTheme="minorEastAsia" w:hAnsiTheme="minorEastAsia" w:eastAsiaTheme="minorEastAsia"/>
                <w:sz w:val="24"/>
              </w:rPr>
              <w:t>首次发生，扣除本年度安全服务合同金额0.</w:t>
            </w:r>
            <w:r>
              <w:rPr>
                <w:rFonts w:asciiTheme="minorEastAsia" w:hAnsiTheme="minorEastAsia" w:eastAsiaTheme="minorEastAsia"/>
                <w:sz w:val="24"/>
              </w:rPr>
              <w:t>1</w:t>
            </w:r>
            <w:r>
              <w:rPr>
                <w:rFonts w:hint="eastAsia" w:asciiTheme="minorEastAsia" w:hAnsiTheme="minorEastAsia" w:eastAsiaTheme="minorEastAsia"/>
                <w:sz w:val="24"/>
              </w:rPr>
              <w:t>%，第二次及以后，在上一次罚则的基础上，金额加20%，每次罚款金额以0.5%为上限。</w:t>
            </w:r>
          </w:p>
        </w:tc>
      </w:tr>
      <w:tr w14:paraId="4561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11" w:type="pct"/>
            <w:shd w:val="clear" w:color="auto" w:fill="auto"/>
            <w:noWrap/>
            <w:vAlign w:val="center"/>
          </w:tcPr>
          <w:p w14:paraId="13528C30">
            <w:pPr>
              <w:widowControl/>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348" w:type="pct"/>
            <w:vMerge w:val="restart"/>
            <w:shd w:val="clear" w:color="auto" w:fill="auto"/>
            <w:vAlign w:val="center"/>
          </w:tcPr>
          <w:p w14:paraId="36428A37">
            <w:pPr>
              <w:widowControl/>
              <w:jc w:val="center"/>
              <w:rPr>
                <w:rFonts w:asciiTheme="minorEastAsia" w:hAnsiTheme="minorEastAsia" w:eastAsiaTheme="minorEastAsia"/>
                <w:sz w:val="24"/>
              </w:rPr>
            </w:pPr>
            <w:r>
              <w:rPr>
                <w:rFonts w:hint="eastAsia" w:asciiTheme="minorEastAsia" w:hAnsiTheme="minorEastAsia" w:eastAsiaTheme="minorEastAsia"/>
                <w:sz w:val="24"/>
              </w:rPr>
              <w:t>服务</w:t>
            </w:r>
          </w:p>
        </w:tc>
        <w:tc>
          <w:tcPr>
            <w:tcW w:w="427" w:type="pct"/>
            <w:shd w:val="clear" w:color="auto" w:fill="auto"/>
            <w:vAlign w:val="center"/>
          </w:tcPr>
          <w:p w14:paraId="5CD84137">
            <w:pPr>
              <w:widowControl/>
              <w:jc w:val="left"/>
              <w:rPr>
                <w:rFonts w:asciiTheme="minorEastAsia" w:hAnsiTheme="minorEastAsia" w:eastAsiaTheme="minorEastAsia"/>
                <w:sz w:val="24"/>
              </w:rPr>
            </w:pPr>
            <w:r>
              <w:rPr>
                <w:rFonts w:hint="eastAsia" w:asciiTheme="minorEastAsia" w:hAnsiTheme="minorEastAsia" w:eastAsiaTheme="minorEastAsia"/>
                <w:sz w:val="24"/>
              </w:rPr>
              <w:t>服务专业性</w:t>
            </w:r>
          </w:p>
        </w:tc>
        <w:tc>
          <w:tcPr>
            <w:tcW w:w="1928" w:type="pct"/>
            <w:shd w:val="clear" w:color="auto" w:fill="auto"/>
            <w:vAlign w:val="center"/>
          </w:tcPr>
          <w:p w14:paraId="34AE63B7">
            <w:pPr>
              <w:widowControl/>
              <w:jc w:val="left"/>
              <w:rPr>
                <w:rFonts w:asciiTheme="minorEastAsia" w:hAnsiTheme="minorEastAsia" w:eastAsiaTheme="minorEastAsia"/>
                <w:sz w:val="24"/>
              </w:rPr>
            </w:pPr>
            <w:r>
              <w:rPr>
                <w:rFonts w:hint="eastAsia" w:asciiTheme="minorEastAsia" w:hAnsiTheme="minorEastAsia" w:eastAsiaTheme="minorEastAsia"/>
                <w:sz w:val="24"/>
              </w:rPr>
              <w:t>服务人员是否具备相应技术素质和工作能力，出现不满足技术要求的。</w:t>
            </w:r>
          </w:p>
        </w:tc>
        <w:tc>
          <w:tcPr>
            <w:tcW w:w="1986" w:type="pct"/>
            <w:shd w:val="clear" w:color="auto" w:fill="auto"/>
            <w:vAlign w:val="center"/>
          </w:tcPr>
          <w:p w14:paraId="005AECD7">
            <w:pPr>
              <w:widowControl/>
              <w:jc w:val="left"/>
              <w:rPr>
                <w:rFonts w:asciiTheme="minorEastAsia" w:hAnsiTheme="minorEastAsia" w:eastAsiaTheme="minorEastAsia"/>
                <w:sz w:val="24"/>
              </w:rPr>
            </w:pPr>
            <w:r>
              <w:rPr>
                <w:rFonts w:hint="eastAsia" w:asciiTheme="minorEastAsia" w:hAnsiTheme="minorEastAsia" w:eastAsiaTheme="minorEastAsia"/>
                <w:sz w:val="24"/>
              </w:rPr>
              <w:t>首次发生，扣除本年度安全服务合同金额0.</w:t>
            </w:r>
            <w:r>
              <w:rPr>
                <w:rFonts w:asciiTheme="minorEastAsia" w:hAnsiTheme="minorEastAsia" w:eastAsiaTheme="minorEastAsia"/>
                <w:sz w:val="24"/>
              </w:rPr>
              <w:t>1</w:t>
            </w:r>
            <w:r>
              <w:rPr>
                <w:rFonts w:hint="eastAsia" w:asciiTheme="minorEastAsia" w:hAnsiTheme="minorEastAsia" w:eastAsiaTheme="minorEastAsia"/>
                <w:sz w:val="24"/>
              </w:rPr>
              <w:t>%，第二次及以后，在上一次罚则的基础上，金额加20%，每次罚款金额以0.5%为上限。</w:t>
            </w:r>
          </w:p>
        </w:tc>
      </w:tr>
      <w:tr w14:paraId="2165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311" w:type="pct"/>
            <w:shd w:val="clear" w:color="auto" w:fill="auto"/>
            <w:noWrap/>
            <w:vAlign w:val="center"/>
          </w:tcPr>
          <w:p w14:paraId="3AD8FF89">
            <w:pPr>
              <w:widowControl/>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348" w:type="pct"/>
            <w:vMerge w:val="continue"/>
            <w:vAlign w:val="center"/>
          </w:tcPr>
          <w:p w14:paraId="0C673E32">
            <w:pPr>
              <w:widowControl/>
              <w:jc w:val="left"/>
              <w:rPr>
                <w:rFonts w:asciiTheme="minorEastAsia" w:hAnsiTheme="minorEastAsia" w:eastAsiaTheme="minorEastAsia"/>
                <w:sz w:val="24"/>
              </w:rPr>
            </w:pPr>
          </w:p>
        </w:tc>
        <w:tc>
          <w:tcPr>
            <w:tcW w:w="427" w:type="pct"/>
            <w:shd w:val="clear" w:color="auto" w:fill="auto"/>
            <w:vAlign w:val="center"/>
          </w:tcPr>
          <w:p w14:paraId="2D4B2769">
            <w:pPr>
              <w:widowControl/>
              <w:jc w:val="left"/>
              <w:rPr>
                <w:rFonts w:asciiTheme="minorEastAsia" w:hAnsiTheme="minorEastAsia" w:eastAsiaTheme="minorEastAsia"/>
                <w:sz w:val="24"/>
              </w:rPr>
            </w:pPr>
            <w:r>
              <w:rPr>
                <w:rFonts w:hint="eastAsia" w:asciiTheme="minorEastAsia" w:hAnsiTheme="minorEastAsia" w:eastAsiaTheme="minorEastAsia"/>
                <w:sz w:val="24"/>
              </w:rPr>
              <w:t xml:space="preserve">服务及时性 </w:t>
            </w:r>
          </w:p>
        </w:tc>
        <w:tc>
          <w:tcPr>
            <w:tcW w:w="1928" w:type="pct"/>
            <w:shd w:val="clear" w:color="auto" w:fill="auto"/>
            <w:vAlign w:val="center"/>
          </w:tcPr>
          <w:p w14:paraId="75B6FB8E">
            <w:pPr>
              <w:widowControl/>
              <w:jc w:val="left"/>
              <w:rPr>
                <w:rFonts w:asciiTheme="minorEastAsia" w:hAnsiTheme="minorEastAsia" w:eastAsiaTheme="minorEastAsia"/>
                <w:sz w:val="24"/>
              </w:rPr>
            </w:pPr>
            <w:r>
              <w:rPr>
                <w:rFonts w:hint="eastAsia" w:asciiTheme="minorEastAsia" w:hAnsiTheme="minorEastAsia" w:eastAsiaTheme="minorEastAsia"/>
                <w:sz w:val="24"/>
              </w:rPr>
              <w:t>是否按照既定时间完成服务成果提交，出现不满足要求的。</w:t>
            </w:r>
          </w:p>
        </w:tc>
        <w:tc>
          <w:tcPr>
            <w:tcW w:w="1986" w:type="pct"/>
            <w:shd w:val="clear" w:color="auto" w:fill="auto"/>
            <w:vAlign w:val="center"/>
          </w:tcPr>
          <w:p w14:paraId="44B99E50">
            <w:pPr>
              <w:widowControl/>
              <w:jc w:val="left"/>
              <w:rPr>
                <w:rFonts w:asciiTheme="minorEastAsia" w:hAnsiTheme="minorEastAsia" w:eastAsiaTheme="minorEastAsia"/>
                <w:sz w:val="24"/>
              </w:rPr>
            </w:pPr>
            <w:r>
              <w:rPr>
                <w:rFonts w:hint="eastAsia" w:asciiTheme="minorEastAsia" w:hAnsiTheme="minorEastAsia" w:eastAsiaTheme="minorEastAsia"/>
                <w:sz w:val="24"/>
              </w:rPr>
              <w:t>首次发生，扣除本年度安全服务合同金额0.0</w:t>
            </w:r>
            <w:r>
              <w:rPr>
                <w:rFonts w:asciiTheme="minorEastAsia" w:hAnsiTheme="minorEastAsia" w:eastAsiaTheme="minorEastAsia"/>
                <w:sz w:val="24"/>
              </w:rPr>
              <w:t>5</w:t>
            </w:r>
            <w:r>
              <w:rPr>
                <w:rFonts w:hint="eastAsia" w:asciiTheme="minorEastAsia" w:hAnsiTheme="minorEastAsia" w:eastAsiaTheme="minorEastAsia"/>
                <w:sz w:val="24"/>
              </w:rPr>
              <w:t>%，第二次及以后，在上一次罚则的基础上，金额加20%，每次罚款金额以0.5%为上限。</w:t>
            </w:r>
          </w:p>
        </w:tc>
      </w:tr>
      <w:tr w14:paraId="5B741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11" w:type="pct"/>
            <w:shd w:val="clear" w:color="auto" w:fill="auto"/>
            <w:noWrap/>
            <w:vAlign w:val="center"/>
          </w:tcPr>
          <w:p w14:paraId="2D3E855C">
            <w:pPr>
              <w:widowControl/>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348" w:type="pct"/>
            <w:vMerge w:val="continue"/>
            <w:vAlign w:val="center"/>
          </w:tcPr>
          <w:p w14:paraId="6B905522">
            <w:pPr>
              <w:widowControl/>
              <w:jc w:val="left"/>
              <w:rPr>
                <w:rFonts w:asciiTheme="minorEastAsia" w:hAnsiTheme="minorEastAsia" w:eastAsiaTheme="minorEastAsia"/>
                <w:sz w:val="24"/>
              </w:rPr>
            </w:pPr>
          </w:p>
        </w:tc>
        <w:tc>
          <w:tcPr>
            <w:tcW w:w="427" w:type="pct"/>
            <w:shd w:val="clear" w:color="auto" w:fill="auto"/>
            <w:vAlign w:val="center"/>
          </w:tcPr>
          <w:p w14:paraId="5C644148">
            <w:pPr>
              <w:widowControl/>
              <w:jc w:val="left"/>
              <w:rPr>
                <w:rFonts w:asciiTheme="minorEastAsia" w:hAnsiTheme="minorEastAsia" w:eastAsiaTheme="minorEastAsia"/>
                <w:sz w:val="24"/>
              </w:rPr>
            </w:pPr>
            <w:r>
              <w:rPr>
                <w:rFonts w:hint="eastAsia" w:asciiTheme="minorEastAsia" w:hAnsiTheme="minorEastAsia" w:eastAsiaTheme="minorEastAsia"/>
                <w:sz w:val="24"/>
              </w:rPr>
              <w:t xml:space="preserve">服务态度 </w:t>
            </w:r>
          </w:p>
        </w:tc>
        <w:tc>
          <w:tcPr>
            <w:tcW w:w="1928" w:type="pct"/>
            <w:shd w:val="clear" w:color="auto" w:fill="auto"/>
            <w:vAlign w:val="center"/>
          </w:tcPr>
          <w:p w14:paraId="13AB3738">
            <w:pPr>
              <w:widowControl/>
              <w:jc w:val="left"/>
              <w:rPr>
                <w:rFonts w:asciiTheme="minorEastAsia" w:hAnsiTheme="minorEastAsia" w:eastAsiaTheme="minorEastAsia"/>
                <w:sz w:val="24"/>
              </w:rPr>
            </w:pPr>
            <w:r>
              <w:rPr>
                <w:rFonts w:hint="eastAsia" w:asciiTheme="minorEastAsia" w:hAnsiTheme="minorEastAsia" w:eastAsiaTheme="minorEastAsia"/>
                <w:sz w:val="24"/>
              </w:rPr>
              <w:t>服务人员因工作态度问题被友邻部门投诉。</w:t>
            </w:r>
          </w:p>
        </w:tc>
        <w:tc>
          <w:tcPr>
            <w:tcW w:w="1986" w:type="pct"/>
            <w:shd w:val="clear" w:color="auto" w:fill="auto"/>
            <w:vAlign w:val="center"/>
          </w:tcPr>
          <w:p w14:paraId="4D974919">
            <w:pPr>
              <w:widowControl/>
              <w:jc w:val="left"/>
              <w:rPr>
                <w:rFonts w:asciiTheme="minorEastAsia" w:hAnsiTheme="minorEastAsia" w:eastAsiaTheme="minorEastAsia"/>
                <w:sz w:val="24"/>
              </w:rPr>
            </w:pPr>
            <w:r>
              <w:rPr>
                <w:rFonts w:hint="eastAsia" w:asciiTheme="minorEastAsia" w:hAnsiTheme="minorEastAsia" w:eastAsiaTheme="minorEastAsia"/>
                <w:sz w:val="24"/>
              </w:rPr>
              <w:t>首次发生，扣除本年度安全服务合同金额0.0</w:t>
            </w:r>
            <w:r>
              <w:rPr>
                <w:rFonts w:asciiTheme="minorEastAsia" w:hAnsiTheme="minorEastAsia" w:eastAsiaTheme="minorEastAsia"/>
                <w:sz w:val="24"/>
              </w:rPr>
              <w:t>5</w:t>
            </w:r>
            <w:r>
              <w:rPr>
                <w:rFonts w:hint="eastAsia" w:asciiTheme="minorEastAsia" w:hAnsiTheme="minorEastAsia" w:eastAsiaTheme="minorEastAsia"/>
                <w:sz w:val="24"/>
              </w:rPr>
              <w:t>%，第二次及以后，在上一次罚则的基础上，金额加20%，每次罚款金额以0.5%为上限。</w:t>
            </w:r>
          </w:p>
        </w:tc>
      </w:tr>
      <w:tr w14:paraId="1965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11" w:type="pct"/>
            <w:shd w:val="clear" w:color="auto" w:fill="auto"/>
            <w:noWrap/>
            <w:vAlign w:val="center"/>
          </w:tcPr>
          <w:p w14:paraId="58E1602A">
            <w:pPr>
              <w:widowControl/>
              <w:jc w:val="center"/>
              <w:rPr>
                <w:rFonts w:asciiTheme="minorEastAsia" w:hAnsiTheme="minorEastAsia" w:eastAsiaTheme="minorEastAsia"/>
                <w:sz w:val="24"/>
              </w:rPr>
            </w:pPr>
            <w:r>
              <w:rPr>
                <w:rFonts w:hint="eastAsia" w:asciiTheme="minorEastAsia" w:hAnsiTheme="minorEastAsia" w:eastAsiaTheme="minorEastAsia"/>
                <w:sz w:val="24"/>
              </w:rPr>
              <w:t>9</w:t>
            </w:r>
          </w:p>
        </w:tc>
        <w:tc>
          <w:tcPr>
            <w:tcW w:w="348" w:type="pct"/>
            <w:vMerge w:val="continue"/>
            <w:vAlign w:val="center"/>
          </w:tcPr>
          <w:p w14:paraId="7C62045B">
            <w:pPr>
              <w:widowControl/>
              <w:jc w:val="left"/>
              <w:rPr>
                <w:rFonts w:asciiTheme="minorEastAsia" w:hAnsiTheme="minorEastAsia" w:eastAsiaTheme="minorEastAsia"/>
                <w:sz w:val="24"/>
              </w:rPr>
            </w:pPr>
          </w:p>
        </w:tc>
        <w:tc>
          <w:tcPr>
            <w:tcW w:w="427" w:type="pct"/>
            <w:shd w:val="clear" w:color="auto" w:fill="auto"/>
            <w:vAlign w:val="center"/>
          </w:tcPr>
          <w:p w14:paraId="2199E56E">
            <w:pPr>
              <w:widowControl/>
              <w:jc w:val="left"/>
              <w:rPr>
                <w:rFonts w:asciiTheme="minorEastAsia" w:hAnsiTheme="minorEastAsia" w:eastAsiaTheme="minorEastAsia"/>
                <w:sz w:val="24"/>
              </w:rPr>
            </w:pPr>
            <w:r>
              <w:rPr>
                <w:rFonts w:hint="eastAsia" w:asciiTheme="minorEastAsia" w:hAnsiTheme="minorEastAsia" w:eastAsiaTheme="minorEastAsia"/>
                <w:sz w:val="24"/>
              </w:rPr>
              <w:t xml:space="preserve">服务满意度 </w:t>
            </w:r>
          </w:p>
        </w:tc>
        <w:tc>
          <w:tcPr>
            <w:tcW w:w="1928" w:type="pct"/>
            <w:shd w:val="clear" w:color="auto" w:fill="auto"/>
            <w:vAlign w:val="center"/>
          </w:tcPr>
          <w:p w14:paraId="56E53F09">
            <w:pPr>
              <w:widowControl/>
              <w:jc w:val="left"/>
              <w:rPr>
                <w:rFonts w:asciiTheme="minorEastAsia" w:hAnsiTheme="minorEastAsia" w:eastAsiaTheme="minorEastAsia"/>
                <w:sz w:val="24"/>
              </w:rPr>
            </w:pPr>
            <w:r>
              <w:rPr>
                <w:rFonts w:hint="eastAsia" w:asciiTheme="minorEastAsia" w:hAnsiTheme="minorEastAsia" w:eastAsiaTheme="minorEastAsia"/>
                <w:sz w:val="24"/>
              </w:rPr>
              <w:t>每季度开展1次服务满意度调研，若服务满意度为不满意。</w:t>
            </w:r>
          </w:p>
        </w:tc>
        <w:tc>
          <w:tcPr>
            <w:tcW w:w="1986" w:type="pct"/>
            <w:shd w:val="clear" w:color="auto" w:fill="auto"/>
            <w:vAlign w:val="center"/>
          </w:tcPr>
          <w:p w14:paraId="756C779E">
            <w:pPr>
              <w:widowControl/>
              <w:jc w:val="left"/>
              <w:rPr>
                <w:rFonts w:asciiTheme="minorEastAsia" w:hAnsiTheme="minorEastAsia" w:eastAsiaTheme="minorEastAsia"/>
                <w:sz w:val="24"/>
              </w:rPr>
            </w:pPr>
            <w:r>
              <w:rPr>
                <w:rFonts w:hint="eastAsia" w:asciiTheme="minorEastAsia" w:hAnsiTheme="minorEastAsia" w:eastAsiaTheme="minorEastAsia"/>
                <w:sz w:val="24"/>
              </w:rPr>
              <w:t>首次发生，扣除本年度安全服务合同金额0.0</w:t>
            </w:r>
            <w:r>
              <w:rPr>
                <w:rFonts w:asciiTheme="minorEastAsia" w:hAnsiTheme="minorEastAsia" w:eastAsiaTheme="minorEastAsia"/>
                <w:sz w:val="24"/>
              </w:rPr>
              <w:t>5</w:t>
            </w:r>
            <w:r>
              <w:rPr>
                <w:rFonts w:hint="eastAsia" w:asciiTheme="minorEastAsia" w:hAnsiTheme="minorEastAsia" w:eastAsiaTheme="minorEastAsia"/>
                <w:sz w:val="24"/>
              </w:rPr>
              <w:t>%，第二次及以后，在上一次罚则的基础上，金额加20%，每次罚款金额以0.5%为上限。</w:t>
            </w:r>
          </w:p>
        </w:tc>
      </w:tr>
    </w:tbl>
    <w:p w14:paraId="7B6BED0A">
      <w:pPr>
        <w:rPr>
          <w:rFonts w:ascii="宋体" w:hAnsi="宋体"/>
          <w:sz w:val="28"/>
          <w:szCs w:val="28"/>
        </w:rPr>
      </w:pPr>
    </w:p>
    <w:p w14:paraId="08CF41DA">
      <w:pPr>
        <w:rPr>
          <w:rFonts w:ascii="宋体" w:hAnsi="宋体"/>
          <w:sz w:val="28"/>
          <w:szCs w:val="28"/>
        </w:rPr>
      </w:pPr>
      <w:r>
        <w:rPr>
          <w:rFonts w:hint="eastAsia" w:ascii="宋体" w:hAnsi="宋体"/>
          <w:sz w:val="28"/>
          <w:szCs w:val="28"/>
        </w:rPr>
        <w:t>在服务期间内出现以下场景，中标方需要向医院支付服务违约金：</w:t>
      </w:r>
    </w:p>
    <w:p w14:paraId="6C40BEFB">
      <w:pPr>
        <w:ind w:firstLine="280" w:firstLineChars="100"/>
        <w:rPr>
          <w:rFonts w:ascii="宋体" w:hAnsi="宋体"/>
          <w:sz w:val="28"/>
          <w:szCs w:val="28"/>
        </w:rPr>
      </w:pPr>
      <w:r>
        <w:rPr>
          <w:rFonts w:hint="eastAsia" w:ascii="宋体" w:hAnsi="宋体"/>
          <w:sz w:val="28"/>
          <w:szCs w:val="28"/>
        </w:rPr>
        <w:t>一、</w:t>
      </w:r>
      <w:r>
        <w:rPr>
          <w:rFonts w:ascii="宋体" w:hAnsi="宋体"/>
          <w:sz w:val="28"/>
          <w:szCs w:val="28"/>
        </w:rPr>
        <w:t>网络勒索损失</w:t>
      </w:r>
    </w:p>
    <w:p w14:paraId="7E175256">
      <w:pPr>
        <w:ind w:firstLine="565" w:firstLineChars="202"/>
        <w:rPr>
          <w:rFonts w:ascii="宋体" w:hAnsi="宋体"/>
          <w:sz w:val="28"/>
          <w:szCs w:val="28"/>
        </w:rPr>
      </w:pPr>
      <w:r>
        <w:rPr>
          <w:rFonts w:hint="eastAsia" w:ascii="宋体" w:hAnsi="宋体"/>
          <w:sz w:val="28"/>
          <w:szCs w:val="28"/>
        </w:rPr>
        <w:t>在服务期间内，我院发生网络安全事件受网络攻击、网络安全威胁而被勒索、敲诈，导致产生下列损失和费用，中标方</w:t>
      </w:r>
      <w:r>
        <w:rPr>
          <w:rFonts w:ascii="宋体" w:hAnsi="宋体"/>
          <w:sz w:val="28"/>
          <w:szCs w:val="28"/>
        </w:rPr>
        <w:t>需进行全额赔付：</w:t>
      </w:r>
      <w:r>
        <w:rPr>
          <w:rFonts w:hint="eastAsia" w:ascii="宋体" w:hAnsi="宋体"/>
          <w:sz w:val="28"/>
          <w:szCs w:val="28"/>
        </w:rPr>
        <w:t>赎金、咨询处理网络勒索事件第三方专业机构的费用以及对能提供逮捕、</w:t>
      </w:r>
      <w:r>
        <w:rPr>
          <w:rFonts w:ascii="宋体" w:hAnsi="宋体"/>
          <w:sz w:val="28"/>
          <w:szCs w:val="28"/>
        </w:rPr>
        <w:t>定罪勒索人信息的举报人的奖励。</w:t>
      </w:r>
    </w:p>
    <w:p w14:paraId="431A68C5">
      <w:pPr>
        <w:ind w:firstLine="280" w:firstLineChars="100"/>
        <w:rPr>
          <w:rFonts w:ascii="宋体" w:hAnsi="宋体"/>
          <w:sz w:val="28"/>
          <w:szCs w:val="28"/>
        </w:rPr>
      </w:pPr>
      <w:r>
        <w:rPr>
          <w:rFonts w:hint="eastAsia" w:ascii="宋体" w:hAnsi="宋体"/>
          <w:sz w:val="28"/>
          <w:szCs w:val="28"/>
        </w:rPr>
        <w:t>二、</w:t>
      </w:r>
      <w:r>
        <w:rPr>
          <w:rFonts w:ascii="宋体" w:hAnsi="宋体"/>
          <w:sz w:val="28"/>
          <w:szCs w:val="28"/>
        </w:rPr>
        <w:t>安全工作不利被开罚单损失</w:t>
      </w:r>
    </w:p>
    <w:p w14:paraId="6FE132F1">
      <w:pPr>
        <w:ind w:firstLine="565" w:firstLineChars="202"/>
        <w:rPr>
          <w:rFonts w:ascii="宋体" w:hAnsi="宋体"/>
          <w:sz w:val="28"/>
          <w:szCs w:val="28"/>
        </w:rPr>
      </w:pPr>
      <w:r>
        <w:rPr>
          <w:rFonts w:hint="eastAsia" w:ascii="宋体" w:hAnsi="宋体"/>
          <w:sz w:val="28"/>
          <w:szCs w:val="28"/>
        </w:rPr>
        <w:t>因网络安全工作开展不利（如日志留存不符合要求、存在重大高危漏洞等），导致医院被第三方检查机构或</w:t>
      </w:r>
      <w:r>
        <w:rPr>
          <w:rFonts w:ascii="宋体" w:hAnsi="宋体"/>
          <w:sz w:val="28"/>
          <w:szCs w:val="28"/>
        </w:rPr>
        <w:t>监管机构开</w:t>
      </w:r>
      <w:r>
        <w:rPr>
          <w:rFonts w:hint="eastAsia" w:ascii="宋体" w:hAnsi="宋体"/>
          <w:sz w:val="28"/>
          <w:szCs w:val="28"/>
        </w:rPr>
        <w:t>出</w:t>
      </w:r>
      <w:r>
        <w:rPr>
          <w:rFonts w:ascii="宋体" w:hAnsi="宋体"/>
          <w:sz w:val="28"/>
          <w:szCs w:val="28"/>
        </w:rPr>
        <w:t>网络安全罚单，</w:t>
      </w:r>
      <w:r>
        <w:rPr>
          <w:rFonts w:hint="eastAsia" w:ascii="宋体" w:hAnsi="宋体"/>
          <w:sz w:val="28"/>
          <w:szCs w:val="28"/>
        </w:rPr>
        <w:t>中标方</w:t>
      </w:r>
      <w:r>
        <w:rPr>
          <w:rFonts w:ascii="宋体" w:hAnsi="宋体"/>
          <w:sz w:val="28"/>
          <w:szCs w:val="28"/>
        </w:rPr>
        <w:t>对罚单金额进行全额赔付。</w:t>
      </w:r>
    </w:p>
    <w:p w14:paraId="151DB8A9">
      <w:pPr>
        <w:ind w:firstLine="280" w:firstLineChars="100"/>
        <w:rPr>
          <w:rFonts w:ascii="宋体" w:hAnsi="宋体"/>
          <w:sz w:val="28"/>
          <w:szCs w:val="28"/>
        </w:rPr>
      </w:pPr>
      <w:r>
        <w:rPr>
          <w:rFonts w:hint="eastAsia" w:ascii="宋体" w:hAnsi="宋体"/>
          <w:sz w:val="28"/>
          <w:szCs w:val="28"/>
        </w:rPr>
        <w:t>三、数据丢失泄露损失</w:t>
      </w:r>
    </w:p>
    <w:p w14:paraId="227C0ECA">
      <w:pPr>
        <w:ind w:firstLine="565" w:firstLineChars="202"/>
        <w:rPr>
          <w:rFonts w:ascii="宋体" w:hAnsi="宋体"/>
          <w:sz w:val="28"/>
          <w:szCs w:val="28"/>
        </w:rPr>
      </w:pPr>
      <w:r>
        <w:rPr>
          <w:rFonts w:hint="eastAsia" w:ascii="宋体" w:hAnsi="宋体"/>
          <w:sz w:val="28"/>
          <w:szCs w:val="28"/>
        </w:rPr>
        <w:t>在服务期间内，因本地运维人员未及时监测并阻断黑客入侵等攻击行为，造成医疗数据丢失泄露所产生损失和费用，中标方需进行全额赔付并对数据进行修复找回。</w:t>
      </w:r>
    </w:p>
    <w:p w14:paraId="534ACE73">
      <w:pPr>
        <w:rPr>
          <w:rFonts w:ascii="宋体" w:hAnsi="宋体"/>
        </w:rPr>
      </w:pPr>
    </w:p>
    <w:p w14:paraId="7A4C5E84">
      <w:pPr>
        <w:widowControl/>
        <w:jc w:val="left"/>
        <w:rPr>
          <w:rFonts w:ascii="宋体" w:hAnsi="宋体"/>
          <w:b/>
          <w:bCs/>
          <w:sz w:val="32"/>
          <w:szCs w:val="32"/>
        </w:rPr>
      </w:pPr>
      <w:r>
        <w:rPr>
          <w:rFonts w:ascii="宋体" w:hAnsi="宋体"/>
        </w:rPr>
        <w:br w:type="page"/>
      </w:r>
    </w:p>
    <w:p w14:paraId="5515AEF6">
      <w:pPr>
        <w:pStyle w:val="3"/>
        <w:spacing w:before="0" w:after="0" w:line="460" w:lineRule="exact"/>
        <w:ind w:firstLine="0"/>
        <w:rPr>
          <w:rFonts w:ascii="宋体" w:hAnsi="宋体" w:eastAsia="宋体"/>
        </w:rPr>
      </w:pPr>
      <w:r>
        <w:rPr>
          <w:rFonts w:hint="eastAsia" w:ascii="宋体" w:hAnsi="宋体" w:eastAsia="宋体"/>
        </w:rPr>
        <w:t>三、法定代表人授权书</w:t>
      </w:r>
      <w:bookmarkEnd w:id="6"/>
      <w:bookmarkEnd w:id="7"/>
      <w:r>
        <w:rPr>
          <w:rFonts w:hint="eastAsia" w:ascii="宋体" w:hAnsi="宋体" w:eastAsia="宋体"/>
        </w:rPr>
        <w:t>（非法人代表参与投标时提供）</w:t>
      </w:r>
    </w:p>
    <w:p w14:paraId="2778C492">
      <w:pPr>
        <w:rPr>
          <w:rFonts w:ascii="宋体" w:hAnsi="宋体"/>
        </w:rPr>
      </w:pPr>
    </w:p>
    <w:p w14:paraId="1567F63B">
      <w:pPr>
        <w:spacing w:line="480" w:lineRule="auto"/>
        <w:rPr>
          <w:rFonts w:ascii="宋体" w:hAnsi="宋体"/>
          <w:sz w:val="27"/>
          <w:szCs w:val="27"/>
        </w:rPr>
      </w:pPr>
      <w:r>
        <w:rPr>
          <w:rFonts w:hint="eastAsia" w:ascii="宋体" w:hAnsi="宋体"/>
          <w:sz w:val="27"/>
          <w:szCs w:val="27"/>
        </w:rPr>
        <w:t>致</w:t>
      </w:r>
      <w:r>
        <w:rPr>
          <w:rFonts w:ascii="宋体" w:hAnsi="宋体"/>
          <w:sz w:val="27"/>
          <w:szCs w:val="27"/>
        </w:rPr>
        <w:t>:</w:t>
      </w:r>
      <w:r>
        <w:rPr>
          <w:rFonts w:hint="eastAsia" w:ascii="宋体" w:hAnsi="宋体"/>
          <w:sz w:val="27"/>
          <w:szCs w:val="27"/>
        </w:rPr>
        <w:t>赣州市妇幼保健院</w:t>
      </w:r>
    </w:p>
    <w:p w14:paraId="4BFDE210">
      <w:pPr>
        <w:spacing w:line="480" w:lineRule="auto"/>
        <w:ind w:firstLine="540" w:firstLineChars="200"/>
        <w:rPr>
          <w:rFonts w:ascii="宋体" w:hAnsi="宋体"/>
          <w:sz w:val="27"/>
          <w:szCs w:val="27"/>
        </w:rPr>
      </w:pPr>
      <w:r>
        <w:rPr>
          <w:rFonts w:hint="eastAsia" w:ascii="宋体" w:hAnsi="宋体"/>
          <w:sz w:val="27"/>
          <w:szCs w:val="27"/>
          <w:u w:val="single"/>
        </w:rPr>
        <w:t xml:space="preserve">             </w:t>
      </w:r>
      <w:r>
        <w:rPr>
          <w:rFonts w:hint="eastAsia" w:ascii="宋体" w:hAnsi="宋体"/>
          <w:sz w:val="27"/>
          <w:szCs w:val="27"/>
        </w:rPr>
        <w:t>（响应供应商法定代表人名称）是</w:t>
      </w:r>
      <w:r>
        <w:rPr>
          <w:rFonts w:hint="eastAsia" w:ascii="宋体" w:hAnsi="宋体"/>
          <w:sz w:val="27"/>
          <w:szCs w:val="27"/>
          <w:u w:val="single"/>
        </w:rPr>
        <w:t xml:space="preserve">          </w:t>
      </w:r>
      <w:r>
        <w:rPr>
          <w:rFonts w:hint="eastAsia" w:ascii="宋体" w:hAnsi="宋体"/>
          <w:sz w:val="27"/>
          <w:szCs w:val="27"/>
        </w:rPr>
        <w:t>（响应供应商名称）的法定代表人，特授权</w:t>
      </w:r>
      <w:r>
        <w:rPr>
          <w:rFonts w:hint="eastAsia" w:ascii="宋体" w:hAnsi="宋体"/>
          <w:sz w:val="27"/>
          <w:szCs w:val="27"/>
          <w:u w:val="single"/>
        </w:rPr>
        <w:t xml:space="preserve">              </w:t>
      </w:r>
      <w:r>
        <w:rPr>
          <w:rFonts w:hint="eastAsia" w:ascii="宋体" w:hAnsi="宋体"/>
          <w:sz w:val="27"/>
          <w:szCs w:val="27"/>
        </w:rPr>
        <w:t>（被授权人姓名及身份证代码）</w:t>
      </w:r>
      <w:r>
        <w:rPr>
          <w:rFonts w:hint="eastAsia" w:ascii="宋体" w:hAnsi="宋体"/>
          <w:sz w:val="27"/>
          <w:szCs w:val="27"/>
          <w:u w:val="single"/>
        </w:rPr>
        <w:t xml:space="preserve">               </w:t>
      </w:r>
      <w:r>
        <w:rPr>
          <w:rFonts w:hint="eastAsia" w:ascii="宋体" w:hAnsi="宋体"/>
          <w:sz w:val="27"/>
          <w:szCs w:val="27"/>
        </w:rPr>
        <w:t>表代表我单位全权办理上述项目的设备咨询、投标、谈判、签约等具体工作，并签署全部有关文件、协议及合同。我单位对被授权人的签字负全部责任。在撤消授权的书面通知以前，本授权书一直有效。被授权人在授权书有效期内签署的所有文件不因授权的撤消而失效。</w:t>
      </w:r>
    </w:p>
    <w:p w14:paraId="1C2F9641">
      <w:pPr>
        <w:spacing w:line="480" w:lineRule="auto"/>
        <w:rPr>
          <w:rFonts w:ascii="宋体" w:hAnsi="宋体" w:cs="宋体"/>
          <w:kern w:val="0"/>
          <w:sz w:val="27"/>
          <w:szCs w:val="27"/>
        </w:rPr>
      </w:pPr>
      <w:r>
        <w:rPr>
          <w:rFonts w:hint="eastAsia" w:ascii="宋体" w:hAnsi="宋体"/>
          <w:sz w:val="27"/>
          <w:szCs w:val="27"/>
        </w:rPr>
        <w:t>被授权人签字：</w:t>
      </w:r>
      <w:r>
        <w:rPr>
          <w:rFonts w:ascii="宋体" w:hAnsi="宋体" w:cs="宋体"/>
          <w:kern w:val="0"/>
          <w:sz w:val="27"/>
          <w:szCs w:val="27"/>
        </w:rPr>
        <w:t>_______________</w:t>
      </w:r>
      <w:r>
        <w:rPr>
          <w:rFonts w:hint="eastAsia" w:ascii="宋体" w:hAnsi="宋体"/>
          <w:sz w:val="27"/>
          <w:szCs w:val="27"/>
        </w:rPr>
        <w:t xml:space="preserve">       法定代表人签字：</w:t>
      </w:r>
      <w:r>
        <w:rPr>
          <w:rFonts w:ascii="宋体" w:hAnsi="宋体" w:cs="宋体"/>
          <w:kern w:val="0"/>
          <w:sz w:val="27"/>
          <w:szCs w:val="27"/>
        </w:rPr>
        <w:t>_______________</w:t>
      </w:r>
    </w:p>
    <w:p w14:paraId="442844FC">
      <w:pPr>
        <w:spacing w:line="480" w:lineRule="auto"/>
        <w:ind w:firstLine="4860" w:firstLineChars="1800"/>
        <w:rPr>
          <w:rFonts w:ascii="宋体" w:hAnsi="宋体"/>
          <w:sz w:val="27"/>
          <w:szCs w:val="27"/>
        </w:rPr>
      </w:pPr>
      <w:r>
        <w:rPr>
          <w:rFonts w:hint="eastAsia" w:ascii="宋体" w:hAnsi="宋体"/>
          <w:sz w:val="27"/>
          <w:szCs w:val="27"/>
        </w:rPr>
        <w:t>响应供应商名称（公章）</w:t>
      </w:r>
    </w:p>
    <w:p w14:paraId="30314C00">
      <w:pPr>
        <w:spacing w:line="480" w:lineRule="auto"/>
        <w:ind w:firstLine="5400" w:firstLineChars="2000"/>
        <w:rPr>
          <w:rFonts w:ascii="宋体" w:hAnsi="宋体"/>
          <w:sz w:val="27"/>
          <w:szCs w:val="27"/>
        </w:rPr>
      </w:pPr>
      <w:r>
        <w:rPr>
          <w:rFonts w:hint="eastAsia" w:ascii="宋体" w:hAnsi="宋体"/>
          <w:sz w:val="27"/>
          <w:szCs w:val="27"/>
        </w:rPr>
        <w:t>年  月   日</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14:paraId="33EF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60" w:type="dxa"/>
          </w:tcPr>
          <w:p w14:paraId="04E94766">
            <w:pPr>
              <w:widowControl/>
              <w:spacing w:line="360" w:lineRule="auto"/>
              <w:rPr>
                <w:rFonts w:ascii="宋体" w:hAnsi="宋体" w:cs="宋体"/>
                <w:kern w:val="0"/>
                <w:sz w:val="27"/>
                <w:szCs w:val="27"/>
              </w:rPr>
            </w:pPr>
            <w:r>
              <w:rPr>
                <w:rFonts w:hint="eastAsia" w:ascii="宋体" w:hAnsi="宋体" w:cs="宋体"/>
                <w:kern w:val="0"/>
                <w:sz w:val="27"/>
                <w:szCs w:val="27"/>
              </w:rPr>
              <w:t>粘贴法人身份证明</w:t>
            </w:r>
            <w:r>
              <w:rPr>
                <w:rFonts w:hint="eastAsia" w:ascii="宋体" w:hAnsi="宋体" w:cs="宋体"/>
                <w:b/>
                <w:kern w:val="0"/>
                <w:sz w:val="27"/>
                <w:szCs w:val="27"/>
              </w:rPr>
              <w:t>（复印件正、反两面）</w:t>
            </w:r>
          </w:p>
          <w:p w14:paraId="01C6048A">
            <w:pPr>
              <w:widowControl/>
              <w:spacing w:line="360" w:lineRule="auto"/>
              <w:rPr>
                <w:rFonts w:ascii="宋体" w:hAnsi="宋体" w:cs="宋体"/>
                <w:kern w:val="0"/>
                <w:sz w:val="27"/>
                <w:szCs w:val="27"/>
              </w:rPr>
            </w:pPr>
          </w:p>
          <w:p w14:paraId="21D30718">
            <w:pPr>
              <w:widowControl/>
              <w:spacing w:line="360" w:lineRule="auto"/>
              <w:rPr>
                <w:rFonts w:ascii="宋体" w:hAnsi="宋体" w:cs="宋体"/>
                <w:kern w:val="0"/>
                <w:sz w:val="27"/>
                <w:szCs w:val="27"/>
              </w:rPr>
            </w:pPr>
          </w:p>
          <w:p w14:paraId="13F609FB">
            <w:pPr>
              <w:widowControl/>
              <w:spacing w:line="360" w:lineRule="auto"/>
              <w:rPr>
                <w:rFonts w:ascii="宋体" w:hAnsi="宋体" w:cs="宋体"/>
                <w:kern w:val="0"/>
                <w:sz w:val="27"/>
                <w:szCs w:val="27"/>
              </w:rPr>
            </w:pPr>
          </w:p>
          <w:p w14:paraId="14A926E3">
            <w:pPr>
              <w:widowControl/>
              <w:spacing w:line="360" w:lineRule="auto"/>
              <w:rPr>
                <w:rFonts w:ascii="宋体" w:hAnsi="宋体" w:cs="宋体"/>
                <w:b/>
                <w:kern w:val="0"/>
                <w:sz w:val="27"/>
                <w:szCs w:val="27"/>
              </w:rPr>
            </w:pPr>
            <w:r>
              <w:rPr>
                <w:rFonts w:hint="eastAsia" w:ascii="宋体" w:hAnsi="宋体" w:cs="宋体"/>
                <w:kern w:val="0"/>
                <w:sz w:val="27"/>
                <w:szCs w:val="27"/>
              </w:rPr>
              <w:t>粘贴被授权人身份证明</w:t>
            </w:r>
            <w:r>
              <w:rPr>
                <w:rFonts w:hint="eastAsia" w:ascii="宋体" w:hAnsi="宋体" w:cs="宋体"/>
                <w:b/>
                <w:kern w:val="0"/>
                <w:sz w:val="27"/>
                <w:szCs w:val="27"/>
              </w:rPr>
              <w:t>（复印件正、反两面）</w:t>
            </w:r>
          </w:p>
          <w:p w14:paraId="3F566AFD">
            <w:pPr>
              <w:widowControl/>
              <w:spacing w:line="360" w:lineRule="auto"/>
              <w:rPr>
                <w:rFonts w:ascii="宋体" w:hAnsi="宋体" w:cs="宋体"/>
                <w:b/>
                <w:kern w:val="0"/>
                <w:sz w:val="27"/>
                <w:szCs w:val="27"/>
              </w:rPr>
            </w:pPr>
          </w:p>
          <w:p w14:paraId="7FA81328">
            <w:pPr>
              <w:widowControl/>
              <w:spacing w:line="360" w:lineRule="auto"/>
              <w:rPr>
                <w:rFonts w:ascii="宋体" w:hAnsi="宋体" w:cs="宋体"/>
                <w:b/>
                <w:kern w:val="0"/>
                <w:sz w:val="27"/>
                <w:szCs w:val="27"/>
              </w:rPr>
            </w:pPr>
          </w:p>
          <w:p w14:paraId="00525A11">
            <w:pPr>
              <w:widowControl/>
              <w:spacing w:line="360" w:lineRule="auto"/>
              <w:rPr>
                <w:rFonts w:ascii="宋体" w:hAnsi="宋体" w:cs="宋体"/>
                <w:b/>
                <w:kern w:val="0"/>
                <w:sz w:val="27"/>
                <w:szCs w:val="27"/>
              </w:rPr>
            </w:pPr>
          </w:p>
        </w:tc>
      </w:tr>
    </w:tbl>
    <w:p w14:paraId="3E49BE8C">
      <w:pPr>
        <w:rPr>
          <w:rFonts w:ascii="宋体" w:hAnsi="宋体"/>
        </w:rPr>
      </w:pPr>
    </w:p>
    <w:p w14:paraId="616157C2">
      <w:pPr>
        <w:widowControl/>
        <w:jc w:val="left"/>
        <w:rPr>
          <w:rFonts w:ascii="宋体" w:hAnsi="宋体"/>
          <w:b/>
          <w:bCs/>
          <w:kern w:val="0"/>
          <w:sz w:val="32"/>
          <w:szCs w:val="32"/>
        </w:rPr>
      </w:pPr>
      <w:r>
        <w:rPr>
          <w:rFonts w:ascii="宋体" w:hAnsi="宋体"/>
          <w:kern w:val="0"/>
        </w:rPr>
        <w:br w:type="page"/>
      </w:r>
    </w:p>
    <w:p w14:paraId="10811109">
      <w:pPr>
        <w:pStyle w:val="3"/>
        <w:tabs>
          <w:tab w:val="center" w:pos="5076"/>
          <w:tab w:val="left" w:pos="8445"/>
        </w:tabs>
        <w:ind w:firstLine="0"/>
        <w:rPr>
          <w:rFonts w:ascii="宋体" w:hAnsi="宋体" w:eastAsia="宋体" w:cs="宋体"/>
          <w:kern w:val="0"/>
          <w:sz w:val="27"/>
          <w:szCs w:val="27"/>
        </w:rPr>
      </w:pPr>
      <w:r>
        <w:rPr>
          <w:rFonts w:hint="eastAsia" w:ascii="宋体" w:hAnsi="宋体" w:eastAsia="宋体"/>
          <w:kern w:val="0"/>
        </w:rPr>
        <w:t>四、响应供应商关于无重大违法记录书面声明函</w:t>
      </w:r>
    </w:p>
    <w:p w14:paraId="241D90EB">
      <w:pPr>
        <w:spacing w:line="480" w:lineRule="auto"/>
        <w:rPr>
          <w:rFonts w:ascii="宋体" w:hAnsi="宋体"/>
          <w:sz w:val="27"/>
          <w:szCs w:val="27"/>
        </w:rPr>
      </w:pPr>
      <w:r>
        <w:rPr>
          <w:rFonts w:hint="eastAsia" w:ascii="宋体" w:hAnsi="宋体"/>
          <w:sz w:val="27"/>
          <w:szCs w:val="27"/>
        </w:rPr>
        <w:t>致：赣州市妇幼保健院</w:t>
      </w:r>
    </w:p>
    <w:p w14:paraId="5ABB1262">
      <w:pPr>
        <w:spacing w:line="480" w:lineRule="auto"/>
        <w:ind w:firstLine="540" w:firstLineChars="200"/>
        <w:rPr>
          <w:rFonts w:ascii="宋体" w:hAnsi="宋体"/>
          <w:sz w:val="27"/>
          <w:szCs w:val="27"/>
        </w:rPr>
      </w:pPr>
      <w:r>
        <w:rPr>
          <w:rFonts w:hint="eastAsia" w:ascii="宋体" w:hAnsi="宋体"/>
          <w:sz w:val="27"/>
          <w:szCs w:val="27"/>
        </w:rPr>
        <w:t>我公司在参加本次政府采购活动前三年内，在经营活动中没有因违法经营受到刑事处罚或者责令停产停业、吊销许可证或者执照、较大数额罚款等重大违法记录。</w:t>
      </w:r>
    </w:p>
    <w:p w14:paraId="692ADDAA">
      <w:pPr>
        <w:spacing w:line="480" w:lineRule="auto"/>
        <w:ind w:left="540"/>
        <w:rPr>
          <w:rFonts w:ascii="宋体" w:hAnsi="宋体"/>
          <w:sz w:val="27"/>
          <w:szCs w:val="27"/>
        </w:rPr>
      </w:pPr>
      <w:r>
        <w:rPr>
          <w:rFonts w:hint="eastAsia" w:ascii="宋体" w:hAnsi="宋体"/>
          <w:sz w:val="27"/>
          <w:szCs w:val="27"/>
        </w:rPr>
        <w:t>特此声明。</w:t>
      </w:r>
    </w:p>
    <w:p w14:paraId="5C362282">
      <w:pPr>
        <w:spacing w:line="480" w:lineRule="auto"/>
        <w:ind w:left="540"/>
        <w:rPr>
          <w:rFonts w:ascii="宋体" w:hAnsi="宋体"/>
          <w:sz w:val="27"/>
          <w:szCs w:val="27"/>
        </w:rPr>
      </w:pPr>
    </w:p>
    <w:p w14:paraId="5491EEAA">
      <w:pPr>
        <w:spacing w:line="480" w:lineRule="auto"/>
        <w:ind w:left="540"/>
        <w:rPr>
          <w:rFonts w:ascii="宋体" w:hAnsi="宋体"/>
          <w:sz w:val="27"/>
          <w:szCs w:val="27"/>
        </w:rPr>
      </w:pPr>
    </w:p>
    <w:p w14:paraId="06F050AF">
      <w:pPr>
        <w:spacing w:line="480" w:lineRule="auto"/>
        <w:ind w:right="540"/>
        <w:jc w:val="center"/>
        <w:rPr>
          <w:rFonts w:ascii="宋体" w:hAnsi="宋体" w:cs="宋体"/>
          <w:kern w:val="0"/>
          <w:sz w:val="27"/>
          <w:szCs w:val="27"/>
        </w:rPr>
      </w:pPr>
      <w:r>
        <w:rPr>
          <w:rFonts w:hint="eastAsia" w:ascii="宋体" w:hAnsi="宋体"/>
          <w:sz w:val="27"/>
          <w:szCs w:val="27"/>
        </w:rPr>
        <w:t xml:space="preserve">                   </w:t>
      </w:r>
      <w:r>
        <w:rPr>
          <w:rFonts w:hint="eastAsia" w:ascii="宋体" w:hAnsi="宋体" w:cs="宋体"/>
          <w:kern w:val="0"/>
          <w:sz w:val="27"/>
          <w:szCs w:val="27"/>
        </w:rPr>
        <w:t>法定代表人或被授权人（签字）：</w:t>
      </w:r>
      <w:r>
        <w:rPr>
          <w:rFonts w:ascii="宋体" w:hAnsi="宋体" w:cs="宋体"/>
          <w:kern w:val="0"/>
          <w:sz w:val="27"/>
          <w:szCs w:val="27"/>
        </w:rPr>
        <w:t>_______________</w:t>
      </w:r>
    </w:p>
    <w:p w14:paraId="7D46B574">
      <w:pPr>
        <w:spacing w:line="480" w:lineRule="auto"/>
        <w:ind w:right="540"/>
        <w:jc w:val="center"/>
        <w:rPr>
          <w:rFonts w:ascii="宋体" w:hAnsi="宋体"/>
          <w:sz w:val="27"/>
          <w:szCs w:val="27"/>
        </w:rPr>
      </w:pPr>
      <w:r>
        <w:rPr>
          <w:rFonts w:hint="eastAsia" w:ascii="宋体" w:hAnsi="宋体"/>
          <w:sz w:val="27"/>
          <w:szCs w:val="27"/>
        </w:rPr>
        <w:t xml:space="preserve">                         </w:t>
      </w:r>
    </w:p>
    <w:p w14:paraId="3EBD1B6D">
      <w:pPr>
        <w:spacing w:line="480" w:lineRule="auto"/>
        <w:ind w:right="540"/>
        <w:jc w:val="center"/>
        <w:rPr>
          <w:rFonts w:ascii="宋体" w:hAnsi="宋体"/>
          <w:sz w:val="27"/>
          <w:szCs w:val="27"/>
        </w:rPr>
      </w:pPr>
      <w:r>
        <w:rPr>
          <w:rFonts w:hint="eastAsia" w:ascii="宋体" w:hAnsi="宋体"/>
          <w:sz w:val="27"/>
          <w:szCs w:val="27"/>
        </w:rPr>
        <w:t xml:space="preserve">      </w:t>
      </w:r>
      <w:r>
        <w:rPr>
          <w:rFonts w:hint="eastAsia" w:ascii="宋体" w:hAnsi="宋体" w:cs="仿宋"/>
          <w:kern w:val="0"/>
          <w:sz w:val="32"/>
          <w:szCs w:val="32"/>
        </w:rPr>
        <w:t>响应供应商名称</w:t>
      </w:r>
      <w:r>
        <w:rPr>
          <w:rFonts w:hint="eastAsia" w:ascii="宋体" w:hAnsi="宋体" w:cs="宋体"/>
          <w:kern w:val="0"/>
          <w:sz w:val="27"/>
          <w:szCs w:val="27"/>
        </w:rPr>
        <w:t>（公章）</w:t>
      </w:r>
      <w:r>
        <w:rPr>
          <w:rFonts w:hint="eastAsia" w:ascii="宋体" w:hAnsi="宋体"/>
          <w:sz w:val="27"/>
          <w:szCs w:val="27"/>
        </w:rPr>
        <w:t xml:space="preserve"> </w:t>
      </w:r>
    </w:p>
    <w:p w14:paraId="44A98D9B">
      <w:pPr>
        <w:widowControl/>
        <w:spacing w:before="100" w:beforeAutospacing="1" w:after="100" w:afterAutospacing="1" w:line="480" w:lineRule="auto"/>
        <w:jc w:val="center"/>
        <w:rPr>
          <w:rFonts w:ascii="宋体" w:hAnsi="宋体" w:cs="宋体"/>
          <w:kern w:val="0"/>
          <w:sz w:val="28"/>
          <w:szCs w:val="28"/>
        </w:rPr>
      </w:pPr>
      <w:r>
        <w:rPr>
          <w:rFonts w:hint="eastAsia" w:ascii="宋体" w:hAnsi="宋体"/>
          <w:sz w:val="27"/>
          <w:szCs w:val="27"/>
        </w:rPr>
        <w:t xml:space="preserve">                              年   月   日</w:t>
      </w:r>
    </w:p>
    <w:p w14:paraId="6A799632">
      <w:pPr>
        <w:rPr>
          <w:rFonts w:ascii="宋体" w:hAnsi="宋体"/>
        </w:rPr>
      </w:pPr>
    </w:p>
    <w:p w14:paraId="7A2FFA4B">
      <w:pPr>
        <w:rPr>
          <w:rFonts w:ascii="宋体" w:hAnsi="宋体"/>
          <w:kern w:val="0"/>
        </w:rPr>
      </w:pPr>
    </w:p>
    <w:p w14:paraId="45D09F75">
      <w:pPr>
        <w:rPr>
          <w:rFonts w:ascii="宋体" w:hAnsi="宋体"/>
          <w:kern w:val="0"/>
        </w:rPr>
      </w:pPr>
    </w:p>
    <w:p w14:paraId="3D45EEE4">
      <w:pPr>
        <w:rPr>
          <w:rFonts w:ascii="宋体" w:hAnsi="宋体"/>
          <w:kern w:val="0"/>
        </w:rPr>
      </w:pPr>
    </w:p>
    <w:p w14:paraId="74BD3918">
      <w:pPr>
        <w:rPr>
          <w:rFonts w:ascii="宋体" w:hAnsi="宋体"/>
          <w:kern w:val="0"/>
        </w:rPr>
      </w:pPr>
    </w:p>
    <w:p w14:paraId="31A6E28A">
      <w:pPr>
        <w:rPr>
          <w:rFonts w:ascii="宋体" w:hAnsi="宋体"/>
          <w:kern w:val="0"/>
        </w:rPr>
      </w:pPr>
    </w:p>
    <w:p w14:paraId="43132BEB">
      <w:pPr>
        <w:rPr>
          <w:rFonts w:ascii="宋体" w:hAnsi="宋体"/>
          <w:kern w:val="0"/>
        </w:rPr>
      </w:pPr>
    </w:p>
    <w:p w14:paraId="6F48F2AE">
      <w:pPr>
        <w:rPr>
          <w:rFonts w:ascii="宋体" w:hAnsi="宋体"/>
          <w:kern w:val="0"/>
        </w:rPr>
      </w:pPr>
    </w:p>
    <w:p w14:paraId="44E0C9F8">
      <w:pPr>
        <w:rPr>
          <w:rFonts w:ascii="宋体" w:hAnsi="宋体"/>
          <w:kern w:val="0"/>
        </w:rPr>
      </w:pPr>
    </w:p>
    <w:p w14:paraId="3CB3FF9B">
      <w:pPr>
        <w:rPr>
          <w:rFonts w:ascii="宋体" w:hAnsi="宋体"/>
          <w:kern w:val="0"/>
        </w:rPr>
      </w:pPr>
    </w:p>
    <w:p w14:paraId="2637BACA">
      <w:pPr>
        <w:rPr>
          <w:rFonts w:ascii="宋体" w:hAnsi="宋体"/>
          <w:kern w:val="0"/>
        </w:rPr>
      </w:pPr>
    </w:p>
    <w:p w14:paraId="5C2A36DE">
      <w:pPr>
        <w:rPr>
          <w:rFonts w:ascii="宋体" w:hAnsi="宋体"/>
          <w:kern w:val="0"/>
        </w:rPr>
      </w:pPr>
    </w:p>
    <w:p w14:paraId="0A9760E2">
      <w:pPr>
        <w:rPr>
          <w:rFonts w:ascii="宋体" w:hAnsi="宋体"/>
          <w:kern w:val="0"/>
        </w:rPr>
      </w:pPr>
    </w:p>
    <w:p w14:paraId="236CF304">
      <w:pPr>
        <w:rPr>
          <w:rFonts w:ascii="宋体" w:hAnsi="宋体"/>
          <w:kern w:val="0"/>
        </w:rPr>
      </w:pPr>
    </w:p>
    <w:p w14:paraId="787A1BA7">
      <w:pPr>
        <w:rPr>
          <w:rFonts w:ascii="宋体" w:hAnsi="宋体"/>
          <w:kern w:val="0"/>
        </w:rPr>
      </w:pPr>
    </w:p>
    <w:p w14:paraId="4D4A7BD5">
      <w:pPr>
        <w:rPr>
          <w:rFonts w:ascii="宋体" w:hAnsi="宋体"/>
          <w:kern w:val="0"/>
        </w:rPr>
      </w:pPr>
    </w:p>
    <w:bookmarkEnd w:id="8"/>
    <w:bookmarkEnd w:id="9"/>
    <w:p w14:paraId="72DB2C92">
      <w:pPr>
        <w:pStyle w:val="3"/>
        <w:rPr>
          <w:rFonts w:ascii="宋体" w:hAnsi="宋体" w:eastAsia="宋体"/>
          <w:kern w:val="0"/>
        </w:rPr>
      </w:pPr>
      <w:r>
        <w:rPr>
          <w:rFonts w:hint="eastAsia" w:ascii="宋体" w:hAnsi="宋体" w:eastAsia="宋体"/>
          <w:kern w:val="0"/>
        </w:rPr>
        <w:t>五、响应供应商资格证明文件</w:t>
      </w:r>
    </w:p>
    <w:p w14:paraId="7638D87E">
      <w:pPr>
        <w:spacing w:line="360" w:lineRule="auto"/>
        <w:rPr>
          <w:rFonts w:ascii="宋体" w:hAnsi="宋体"/>
          <w:sz w:val="30"/>
          <w:szCs w:val="30"/>
        </w:rPr>
      </w:pPr>
      <w:r>
        <w:rPr>
          <w:rFonts w:hint="eastAsia" w:ascii="宋体" w:hAnsi="宋体"/>
          <w:sz w:val="30"/>
          <w:szCs w:val="30"/>
        </w:rPr>
        <w:t>1、营业执照、税务登记证、机构代码证（三证（五证）合一的提供三证（五证）合一证件）</w:t>
      </w:r>
    </w:p>
    <w:p w14:paraId="0889F0DD">
      <w:pPr>
        <w:spacing w:line="360" w:lineRule="auto"/>
        <w:rPr>
          <w:rFonts w:ascii="宋体" w:hAnsi="宋体"/>
          <w:sz w:val="30"/>
          <w:szCs w:val="30"/>
        </w:rPr>
      </w:pPr>
    </w:p>
    <w:p w14:paraId="780D7CD7">
      <w:pPr>
        <w:spacing w:line="360" w:lineRule="auto"/>
        <w:rPr>
          <w:rFonts w:ascii="宋体" w:hAnsi="宋体"/>
          <w:sz w:val="30"/>
          <w:szCs w:val="30"/>
        </w:rPr>
      </w:pPr>
    </w:p>
    <w:p w14:paraId="05377983">
      <w:pPr>
        <w:spacing w:line="360" w:lineRule="auto"/>
        <w:rPr>
          <w:rFonts w:ascii="宋体" w:hAnsi="宋体"/>
          <w:sz w:val="30"/>
          <w:szCs w:val="30"/>
        </w:rPr>
      </w:pPr>
    </w:p>
    <w:p w14:paraId="4583B357">
      <w:pPr>
        <w:spacing w:line="360" w:lineRule="auto"/>
        <w:rPr>
          <w:rFonts w:ascii="宋体" w:hAnsi="宋体"/>
          <w:sz w:val="30"/>
          <w:szCs w:val="30"/>
        </w:rPr>
      </w:pPr>
    </w:p>
    <w:p w14:paraId="4511D746">
      <w:pPr>
        <w:spacing w:line="360" w:lineRule="auto"/>
        <w:rPr>
          <w:rFonts w:ascii="宋体" w:hAnsi="宋体"/>
          <w:sz w:val="30"/>
          <w:szCs w:val="30"/>
        </w:rPr>
      </w:pPr>
    </w:p>
    <w:p w14:paraId="6667A02D">
      <w:pPr>
        <w:spacing w:line="360" w:lineRule="auto"/>
        <w:rPr>
          <w:rFonts w:ascii="宋体" w:hAnsi="宋体"/>
          <w:sz w:val="30"/>
          <w:szCs w:val="30"/>
        </w:rPr>
      </w:pPr>
    </w:p>
    <w:p w14:paraId="4BB0C89D">
      <w:pPr>
        <w:spacing w:line="360" w:lineRule="auto"/>
        <w:rPr>
          <w:rFonts w:ascii="宋体" w:hAnsi="宋体"/>
          <w:sz w:val="30"/>
          <w:szCs w:val="30"/>
        </w:rPr>
      </w:pPr>
    </w:p>
    <w:p w14:paraId="3E2C7DC8">
      <w:pPr>
        <w:spacing w:line="360" w:lineRule="auto"/>
        <w:rPr>
          <w:rFonts w:ascii="宋体" w:hAnsi="宋体"/>
          <w:sz w:val="30"/>
          <w:szCs w:val="30"/>
        </w:rPr>
      </w:pPr>
    </w:p>
    <w:p w14:paraId="7B51374B">
      <w:pPr>
        <w:spacing w:line="360" w:lineRule="auto"/>
        <w:rPr>
          <w:rFonts w:ascii="宋体" w:hAnsi="宋体"/>
          <w:sz w:val="30"/>
          <w:szCs w:val="30"/>
        </w:rPr>
      </w:pPr>
    </w:p>
    <w:p w14:paraId="390E474E">
      <w:pPr>
        <w:spacing w:line="360" w:lineRule="auto"/>
        <w:rPr>
          <w:rFonts w:ascii="宋体" w:hAnsi="宋体"/>
          <w:sz w:val="30"/>
          <w:szCs w:val="30"/>
        </w:rPr>
      </w:pPr>
    </w:p>
    <w:p w14:paraId="722A370B">
      <w:pPr>
        <w:spacing w:line="360" w:lineRule="auto"/>
        <w:rPr>
          <w:rFonts w:ascii="宋体" w:hAnsi="宋体"/>
          <w:sz w:val="30"/>
          <w:szCs w:val="30"/>
        </w:rPr>
      </w:pPr>
    </w:p>
    <w:p w14:paraId="0F99C202">
      <w:pPr>
        <w:spacing w:line="360" w:lineRule="auto"/>
        <w:rPr>
          <w:rFonts w:ascii="宋体" w:hAnsi="宋体"/>
          <w:sz w:val="30"/>
          <w:szCs w:val="30"/>
        </w:rPr>
      </w:pPr>
    </w:p>
    <w:p w14:paraId="6BAFAA8D">
      <w:pPr>
        <w:spacing w:line="360" w:lineRule="auto"/>
        <w:rPr>
          <w:rFonts w:ascii="宋体" w:hAnsi="宋体"/>
          <w:sz w:val="30"/>
          <w:szCs w:val="30"/>
        </w:rPr>
      </w:pPr>
    </w:p>
    <w:p w14:paraId="0A16AC6C">
      <w:pPr>
        <w:spacing w:line="360" w:lineRule="auto"/>
        <w:rPr>
          <w:rFonts w:ascii="宋体" w:hAnsi="宋体"/>
          <w:sz w:val="30"/>
          <w:szCs w:val="30"/>
        </w:rPr>
      </w:pPr>
    </w:p>
    <w:p w14:paraId="3DB99947">
      <w:pPr>
        <w:spacing w:line="360" w:lineRule="auto"/>
        <w:rPr>
          <w:rFonts w:ascii="宋体" w:hAnsi="宋体"/>
          <w:sz w:val="30"/>
          <w:szCs w:val="30"/>
        </w:rPr>
      </w:pPr>
    </w:p>
    <w:p w14:paraId="22308AB8">
      <w:pPr>
        <w:spacing w:line="360" w:lineRule="auto"/>
        <w:rPr>
          <w:rFonts w:ascii="宋体" w:hAnsi="宋体"/>
          <w:sz w:val="30"/>
          <w:szCs w:val="30"/>
        </w:rPr>
      </w:pPr>
    </w:p>
    <w:p w14:paraId="1B569A48">
      <w:pPr>
        <w:spacing w:line="360" w:lineRule="auto"/>
        <w:rPr>
          <w:rFonts w:ascii="宋体" w:hAnsi="宋体"/>
          <w:sz w:val="30"/>
          <w:szCs w:val="30"/>
        </w:rPr>
      </w:pPr>
    </w:p>
    <w:p w14:paraId="0A68A3B1">
      <w:pPr>
        <w:spacing w:line="360" w:lineRule="auto"/>
        <w:rPr>
          <w:rFonts w:ascii="宋体" w:hAnsi="宋体"/>
          <w:sz w:val="30"/>
          <w:szCs w:val="30"/>
        </w:rPr>
      </w:pPr>
    </w:p>
    <w:p w14:paraId="502A6F82">
      <w:pPr>
        <w:spacing w:line="360" w:lineRule="auto"/>
        <w:rPr>
          <w:rFonts w:ascii="宋体" w:hAnsi="宋体"/>
          <w:sz w:val="30"/>
          <w:szCs w:val="30"/>
        </w:rPr>
      </w:pPr>
    </w:p>
    <w:p w14:paraId="34AA74B0">
      <w:pPr>
        <w:spacing w:line="360" w:lineRule="auto"/>
        <w:jc w:val="center"/>
        <w:rPr>
          <w:rFonts w:ascii="宋体" w:hAnsi="宋体" w:cs="黑体"/>
          <w:b/>
          <w:bCs/>
          <w:sz w:val="30"/>
          <w:szCs w:val="30"/>
        </w:rPr>
      </w:pPr>
      <w:r>
        <w:rPr>
          <w:rFonts w:hint="eastAsia" w:ascii="宋体" w:hAnsi="宋体" w:cs="黑体"/>
          <w:b/>
          <w:bCs/>
          <w:sz w:val="30"/>
          <w:szCs w:val="30"/>
        </w:rPr>
        <w:t>六、其他证明文件</w:t>
      </w:r>
    </w:p>
    <w:p w14:paraId="613EC262">
      <w:pPr>
        <w:spacing w:line="360" w:lineRule="auto"/>
        <w:jc w:val="center"/>
        <w:rPr>
          <w:rFonts w:ascii="宋体" w:hAnsi="宋体" w:cs="黑体"/>
          <w:b/>
          <w:bCs/>
          <w:sz w:val="30"/>
          <w:szCs w:val="30"/>
        </w:rPr>
      </w:pPr>
    </w:p>
    <w:p w14:paraId="703BF7FD">
      <w:pPr>
        <w:spacing w:line="360" w:lineRule="auto"/>
        <w:jc w:val="center"/>
        <w:rPr>
          <w:rFonts w:ascii="宋体" w:hAnsi="宋体" w:cs="黑体"/>
          <w:b/>
          <w:bCs/>
          <w:sz w:val="30"/>
          <w:szCs w:val="30"/>
        </w:rPr>
      </w:pPr>
    </w:p>
    <w:p w14:paraId="3E322BFE">
      <w:pPr>
        <w:spacing w:line="360" w:lineRule="auto"/>
        <w:jc w:val="center"/>
        <w:rPr>
          <w:rFonts w:ascii="宋体" w:hAnsi="宋体" w:cs="黑体"/>
          <w:b/>
          <w:bCs/>
          <w:sz w:val="30"/>
          <w:szCs w:val="30"/>
        </w:rPr>
      </w:pPr>
    </w:p>
    <w:p w14:paraId="6D23BBFD">
      <w:pPr>
        <w:spacing w:line="360" w:lineRule="auto"/>
        <w:jc w:val="center"/>
        <w:rPr>
          <w:rFonts w:ascii="宋体" w:hAnsi="宋体" w:cs="黑体"/>
          <w:b/>
          <w:bCs/>
          <w:sz w:val="30"/>
          <w:szCs w:val="30"/>
        </w:rPr>
      </w:pPr>
    </w:p>
    <w:p w14:paraId="71DAA3D8">
      <w:pPr>
        <w:spacing w:line="360" w:lineRule="auto"/>
        <w:jc w:val="center"/>
        <w:rPr>
          <w:rFonts w:ascii="宋体" w:hAnsi="宋体" w:cs="黑体"/>
          <w:b/>
          <w:bCs/>
          <w:sz w:val="30"/>
          <w:szCs w:val="30"/>
        </w:rPr>
      </w:pPr>
    </w:p>
    <w:p w14:paraId="0AF0EBDF">
      <w:pPr>
        <w:spacing w:line="360" w:lineRule="auto"/>
        <w:jc w:val="center"/>
        <w:rPr>
          <w:rFonts w:ascii="宋体" w:hAnsi="宋体" w:cs="黑体"/>
          <w:b/>
          <w:bCs/>
          <w:sz w:val="30"/>
          <w:szCs w:val="30"/>
        </w:rPr>
      </w:pPr>
    </w:p>
    <w:p w14:paraId="7E193B41">
      <w:pPr>
        <w:spacing w:line="360" w:lineRule="auto"/>
        <w:jc w:val="center"/>
        <w:rPr>
          <w:rFonts w:ascii="宋体" w:hAnsi="宋体" w:cs="黑体"/>
          <w:b/>
          <w:bCs/>
          <w:sz w:val="30"/>
          <w:szCs w:val="30"/>
        </w:rPr>
      </w:pPr>
    </w:p>
    <w:p w14:paraId="1E48D482">
      <w:pPr>
        <w:spacing w:line="360" w:lineRule="auto"/>
        <w:jc w:val="center"/>
        <w:rPr>
          <w:rFonts w:ascii="宋体" w:hAnsi="宋体" w:cs="黑体"/>
          <w:b/>
          <w:bCs/>
          <w:sz w:val="30"/>
          <w:szCs w:val="30"/>
        </w:rPr>
      </w:pPr>
    </w:p>
    <w:p w14:paraId="0DF37BF5">
      <w:pPr>
        <w:spacing w:line="360" w:lineRule="auto"/>
        <w:jc w:val="center"/>
        <w:rPr>
          <w:rFonts w:ascii="宋体" w:hAnsi="宋体" w:cs="黑体"/>
          <w:b/>
          <w:bCs/>
          <w:sz w:val="30"/>
          <w:szCs w:val="30"/>
        </w:rPr>
      </w:pPr>
    </w:p>
    <w:p w14:paraId="6D111A8E">
      <w:pPr>
        <w:spacing w:line="360" w:lineRule="auto"/>
        <w:jc w:val="center"/>
        <w:rPr>
          <w:rFonts w:ascii="宋体" w:hAnsi="宋体" w:cs="黑体"/>
          <w:b/>
          <w:bCs/>
          <w:sz w:val="30"/>
          <w:szCs w:val="30"/>
        </w:rPr>
      </w:pPr>
    </w:p>
    <w:p w14:paraId="6578F773">
      <w:pPr>
        <w:spacing w:line="360" w:lineRule="auto"/>
        <w:jc w:val="center"/>
        <w:rPr>
          <w:rFonts w:ascii="宋体" w:hAnsi="宋体" w:cs="黑体"/>
          <w:b/>
          <w:bCs/>
          <w:sz w:val="30"/>
          <w:szCs w:val="30"/>
        </w:rPr>
      </w:pPr>
    </w:p>
    <w:p w14:paraId="29D0769F">
      <w:pPr>
        <w:spacing w:line="360" w:lineRule="auto"/>
        <w:jc w:val="center"/>
        <w:rPr>
          <w:rFonts w:ascii="宋体" w:hAnsi="宋体" w:cs="黑体"/>
          <w:b/>
          <w:bCs/>
          <w:sz w:val="30"/>
          <w:szCs w:val="30"/>
        </w:rPr>
      </w:pPr>
    </w:p>
    <w:p w14:paraId="53039883">
      <w:pPr>
        <w:spacing w:line="360" w:lineRule="auto"/>
        <w:jc w:val="center"/>
        <w:rPr>
          <w:rFonts w:ascii="宋体" w:hAnsi="宋体" w:cs="黑体"/>
          <w:b/>
          <w:bCs/>
          <w:sz w:val="30"/>
          <w:szCs w:val="30"/>
        </w:rPr>
      </w:pPr>
    </w:p>
    <w:p w14:paraId="51FCD5A8">
      <w:pPr>
        <w:spacing w:line="360" w:lineRule="auto"/>
        <w:jc w:val="center"/>
        <w:rPr>
          <w:rFonts w:ascii="宋体" w:hAnsi="宋体" w:cs="黑体"/>
          <w:b/>
          <w:bCs/>
          <w:sz w:val="30"/>
          <w:szCs w:val="30"/>
        </w:rPr>
      </w:pPr>
    </w:p>
    <w:p w14:paraId="0651E452">
      <w:pPr>
        <w:spacing w:line="360" w:lineRule="auto"/>
        <w:jc w:val="center"/>
        <w:rPr>
          <w:rFonts w:ascii="宋体" w:hAnsi="宋体" w:cs="黑体"/>
          <w:b/>
          <w:bCs/>
          <w:sz w:val="30"/>
          <w:szCs w:val="30"/>
        </w:rPr>
      </w:pPr>
    </w:p>
    <w:p w14:paraId="531CF5E2">
      <w:pPr>
        <w:spacing w:line="360" w:lineRule="auto"/>
        <w:jc w:val="center"/>
        <w:rPr>
          <w:rFonts w:ascii="宋体" w:hAnsi="宋体" w:cs="黑体"/>
          <w:b/>
          <w:bCs/>
          <w:sz w:val="30"/>
          <w:szCs w:val="30"/>
        </w:rPr>
      </w:pPr>
    </w:p>
    <w:p w14:paraId="3259893D">
      <w:pPr>
        <w:spacing w:line="360" w:lineRule="auto"/>
        <w:jc w:val="center"/>
        <w:rPr>
          <w:rFonts w:ascii="宋体" w:hAnsi="宋体" w:cs="黑体"/>
          <w:b/>
          <w:bCs/>
          <w:sz w:val="30"/>
          <w:szCs w:val="30"/>
        </w:rPr>
      </w:pPr>
    </w:p>
    <w:p w14:paraId="76255705">
      <w:pPr>
        <w:spacing w:line="360" w:lineRule="auto"/>
        <w:jc w:val="center"/>
        <w:rPr>
          <w:rFonts w:ascii="宋体" w:hAnsi="宋体" w:cs="黑体"/>
          <w:b/>
          <w:bCs/>
          <w:sz w:val="30"/>
          <w:szCs w:val="30"/>
        </w:rPr>
      </w:pPr>
    </w:p>
    <w:p w14:paraId="5A164446">
      <w:pPr>
        <w:spacing w:line="360" w:lineRule="auto"/>
        <w:jc w:val="center"/>
        <w:rPr>
          <w:rFonts w:ascii="宋体" w:hAnsi="宋体" w:cs="黑体"/>
          <w:b/>
          <w:bCs/>
          <w:sz w:val="30"/>
          <w:szCs w:val="30"/>
        </w:rPr>
      </w:pPr>
    </w:p>
    <w:p w14:paraId="2A119B7F">
      <w:pPr>
        <w:spacing w:line="360" w:lineRule="auto"/>
        <w:jc w:val="center"/>
        <w:rPr>
          <w:rFonts w:ascii="宋体" w:hAnsi="宋体" w:cs="黑体"/>
          <w:b/>
          <w:bCs/>
          <w:sz w:val="30"/>
          <w:szCs w:val="30"/>
        </w:rPr>
      </w:pPr>
    </w:p>
    <w:bookmarkEnd w:id="4"/>
    <w:p w14:paraId="7EBDEF29">
      <w:pPr>
        <w:spacing w:line="360" w:lineRule="auto"/>
        <w:rPr>
          <w:rFonts w:ascii="宋体" w:hAnsi="宋体"/>
          <w:sz w:val="30"/>
          <w:szCs w:val="30"/>
        </w:rPr>
      </w:pPr>
    </w:p>
    <w:sectPr>
      <w:footerReference r:id="rId7" w:type="default"/>
      <w:pgSz w:w="11906" w:h="16838"/>
      <w:pgMar w:top="1440" w:right="1080"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5E7C5">
    <w:pPr>
      <w:pStyle w:val="17"/>
      <w:framePr w:wrap="around" w:vAnchor="text" w:hAnchor="margin" w:xAlign="center" w:y="1"/>
      <w:rPr>
        <w:rStyle w:val="29"/>
      </w:rPr>
    </w:pPr>
    <w:r>
      <w:fldChar w:fldCharType="begin"/>
    </w:r>
    <w:r>
      <w:rPr>
        <w:rStyle w:val="29"/>
      </w:rPr>
      <w:instrText xml:space="preserve">PAGE  </w:instrText>
    </w:r>
    <w:r>
      <w:fldChar w:fldCharType="separate"/>
    </w:r>
    <w:r>
      <w:rPr>
        <w:rStyle w:val="29"/>
      </w:rPr>
      <w:t>2</w:t>
    </w:r>
    <w:r>
      <w:fldChar w:fldCharType="end"/>
    </w:r>
  </w:p>
  <w:p w14:paraId="2DA25490">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8F89F">
    <w:pPr>
      <w:pStyle w:val="17"/>
      <w:framePr w:wrap="around" w:vAnchor="text" w:hAnchor="margin" w:xAlign="center" w:y="1"/>
      <w:rPr>
        <w:rStyle w:val="29"/>
      </w:rPr>
    </w:pPr>
    <w:r>
      <w:fldChar w:fldCharType="begin"/>
    </w:r>
    <w:r>
      <w:rPr>
        <w:rStyle w:val="29"/>
      </w:rPr>
      <w:instrText xml:space="preserve">PAGE  </w:instrText>
    </w:r>
    <w:r>
      <w:fldChar w:fldCharType="separate"/>
    </w:r>
    <w:r>
      <w:rPr>
        <w:rStyle w:val="29"/>
      </w:rPr>
      <w:t>7</w:t>
    </w:r>
    <w:r>
      <w:fldChar w:fldCharType="end"/>
    </w:r>
  </w:p>
  <w:p w14:paraId="6BAF80AC">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31D0C">
    <w:pPr>
      <w:pStyle w:val="17"/>
      <w:jc w:val="center"/>
    </w:pPr>
    <w:r>
      <w:fldChar w:fldCharType="begin"/>
    </w:r>
    <w:r>
      <w:instrText xml:space="preserve">PAGE   \* MERGEFORMAT</w:instrText>
    </w:r>
    <w:r>
      <w:fldChar w:fldCharType="separate"/>
    </w:r>
    <w:r>
      <w:rPr>
        <w:lang w:val="zh-CN"/>
      </w:rPr>
      <w:t>1</w:t>
    </w:r>
    <w:r>
      <w:fldChar w:fldCharType="end"/>
    </w:r>
  </w:p>
  <w:p w14:paraId="6F015C3B">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AC073">
    <w:pPr>
      <w:pStyle w:val="17"/>
      <w:jc w:val="center"/>
    </w:pPr>
    <w:r>
      <w:fldChar w:fldCharType="begin"/>
    </w:r>
    <w:r>
      <w:instrText xml:space="preserve"> PAGE  \* MERGEFORMAT </w:instrText>
    </w:r>
    <w:r>
      <w:fldChar w:fldCharType="separate"/>
    </w:r>
    <w:r>
      <w:t>10</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1A7B6">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C15584"/>
    <w:multiLevelType w:val="multilevel"/>
    <w:tmpl w:val="6DC15584"/>
    <w:lvl w:ilvl="0" w:tentative="0">
      <w:start w:val="1"/>
      <w:numFmt w:val="chineseCountingThousand"/>
      <w:lvlText w:val="%1、"/>
      <w:lvlJc w:val="left"/>
      <w:pPr>
        <w:ind w:left="0" w:firstLine="0"/>
      </w:pPr>
      <w:rPr>
        <w:rFonts w:hint="eastAsia"/>
      </w:rPr>
    </w:lvl>
    <w:lvl w:ilvl="1" w:tentative="0">
      <w:start w:val="1"/>
      <w:numFmt w:val="decimal"/>
      <w:isLgl/>
      <w:lvlText w:val="%1.%2."/>
      <w:lvlJc w:val="left"/>
      <w:pPr>
        <w:ind w:left="0" w:firstLine="0"/>
      </w:pPr>
      <w:rPr>
        <w:rFonts w:hint="eastAsia"/>
      </w:rPr>
    </w:lvl>
    <w:lvl w:ilvl="2" w:tentative="0">
      <w:start w:val="1"/>
      <w:numFmt w:val="decimal"/>
      <w:pStyle w:val="4"/>
      <w:lvlText w:val="4.1.%3"/>
      <w:lvlJc w:val="left"/>
      <w:pPr>
        <w:ind w:left="0" w:firstLine="0"/>
      </w:pPr>
      <w:rPr>
        <w:rFonts w:hint="eastAsia"/>
      </w:rPr>
    </w:lvl>
    <w:lvl w:ilvl="3" w:tentative="0">
      <w:start w:val="1"/>
      <w:numFmt w:val="decimal"/>
      <w:isLgl/>
      <w:lvlText w:val="%1.%2.%3.%4."/>
      <w:lvlJc w:val="left"/>
      <w:pPr>
        <w:ind w:left="0" w:firstLine="0"/>
      </w:pPr>
      <w:rPr>
        <w:rFonts w:hint="eastAsia"/>
      </w:rPr>
    </w:lvl>
    <w:lvl w:ilvl="4" w:tentative="0">
      <w:start w:val="1"/>
      <w:numFmt w:val="decimal"/>
      <w:isLg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MTRjNjBmNDk3NmI4ZTViMWE0ZTU0MzlhYWE3ZmIxNzIifQ=="/>
  </w:docVars>
  <w:rsids>
    <w:rsidRoot w:val="000D4E02"/>
    <w:rsid w:val="000000A9"/>
    <w:rsid w:val="00000169"/>
    <w:rsid w:val="0000044B"/>
    <w:rsid w:val="000004A0"/>
    <w:rsid w:val="000013B3"/>
    <w:rsid w:val="00001998"/>
    <w:rsid w:val="0000266E"/>
    <w:rsid w:val="00002AB7"/>
    <w:rsid w:val="00002BDB"/>
    <w:rsid w:val="00003488"/>
    <w:rsid w:val="00003C5E"/>
    <w:rsid w:val="00004188"/>
    <w:rsid w:val="00004646"/>
    <w:rsid w:val="000050FC"/>
    <w:rsid w:val="00005CC6"/>
    <w:rsid w:val="00005EC5"/>
    <w:rsid w:val="000061A9"/>
    <w:rsid w:val="000063DF"/>
    <w:rsid w:val="00006686"/>
    <w:rsid w:val="00006B18"/>
    <w:rsid w:val="00007333"/>
    <w:rsid w:val="00007493"/>
    <w:rsid w:val="00010481"/>
    <w:rsid w:val="000110CA"/>
    <w:rsid w:val="0001133C"/>
    <w:rsid w:val="00011816"/>
    <w:rsid w:val="00011953"/>
    <w:rsid w:val="0001294F"/>
    <w:rsid w:val="00012BC7"/>
    <w:rsid w:val="00012E9D"/>
    <w:rsid w:val="00013CCA"/>
    <w:rsid w:val="0001551C"/>
    <w:rsid w:val="00015940"/>
    <w:rsid w:val="00015D11"/>
    <w:rsid w:val="00016D68"/>
    <w:rsid w:val="000172D4"/>
    <w:rsid w:val="00020111"/>
    <w:rsid w:val="00020B2B"/>
    <w:rsid w:val="00021FEA"/>
    <w:rsid w:val="000226B1"/>
    <w:rsid w:val="000227A0"/>
    <w:rsid w:val="00022B67"/>
    <w:rsid w:val="00023193"/>
    <w:rsid w:val="0002399A"/>
    <w:rsid w:val="0002399B"/>
    <w:rsid w:val="00023A26"/>
    <w:rsid w:val="00023A84"/>
    <w:rsid w:val="00024293"/>
    <w:rsid w:val="000246AF"/>
    <w:rsid w:val="00025358"/>
    <w:rsid w:val="000260A7"/>
    <w:rsid w:val="000275CF"/>
    <w:rsid w:val="00027A14"/>
    <w:rsid w:val="00030EAD"/>
    <w:rsid w:val="00030F9B"/>
    <w:rsid w:val="00031384"/>
    <w:rsid w:val="000317EB"/>
    <w:rsid w:val="0003190F"/>
    <w:rsid w:val="00031D4A"/>
    <w:rsid w:val="00032186"/>
    <w:rsid w:val="0003288A"/>
    <w:rsid w:val="00032AF0"/>
    <w:rsid w:val="00033E47"/>
    <w:rsid w:val="00033F22"/>
    <w:rsid w:val="0003429E"/>
    <w:rsid w:val="000344B9"/>
    <w:rsid w:val="00034662"/>
    <w:rsid w:val="00034BCA"/>
    <w:rsid w:val="00034EB1"/>
    <w:rsid w:val="00035A2F"/>
    <w:rsid w:val="00035F9C"/>
    <w:rsid w:val="00036AB3"/>
    <w:rsid w:val="00037162"/>
    <w:rsid w:val="0003746C"/>
    <w:rsid w:val="00040818"/>
    <w:rsid w:val="00041271"/>
    <w:rsid w:val="0004307B"/>
    <w:rsid w:val="000432C0"/>
    <w:rsid w:val="000433EE"/>
    <w:rsid w:val="00043428"/>
    <w:rsid w:val="00043480"/>
    <w:rsid w:val="00043875"/>
    <w:rsid w:val="0004402F"/>
    <w:rsid w:val="00044771"/>
    <w:rsid w:val="0004521B"/>
    <w:rsid w:val="0004541D"/>
    <w:rsid w:val="00045597"/>
    <w:rsid w:val="000457E9"/>
    <w:rsid w:val="00046F0C"/>
    <w:rsid w:val="000470E4"/>
    <w:rsid w:val="0004720D"/>
    <w:rsid w:val="0004758A"/>
    <w:rsid w:val="00050838"/>
    <w:rsid w:val="00050918"/>
    <w:rsid w:val="00051626"/>
    <w:rsid w:val="00052464"/>
    <w:rsid w:val="000525A8"/>
    <w:rsid w:val="000527DB"/>
    <w:rsid w:val="0005301D"/>
    <w:rsid w:val="0005452A"/>
    <w:rsid w:val="00054668"/>
    <w:rsid w:val="000552FA"/>
    <w:rsid w:val="00055840"/>
    <w:rsid w:val="000562C3"/>
    <w:rsid w:val="00056486"/>
    <w:rsid w:val="0005710C"/>
    <w:rsid w:val="00057290"/>
    <w:rsid w:val="000576BE"/>
    <w:rsid w:val="000578FB"/>
    <w:rsid w:val="0006174E"/>
    <w:rsid w:val="00061D8C"/>
    <w:rsid w:val="00062273"/>
    <w:rsid w:val="00062564"/>
    <w:rsid w:val="0006259A"/>
    <w:rsid w:val="000632F9"/>
    <w:rsid w:val="00064BAD"/>
    <w:rsid w:val="00065275"/>
    <w:rsid w:val="000652EF"/>
    <w:rsid w:val="00065BAE"/>
    <w:rsid w:val="00065EF7"/>
    <w:rsid w:val="00066B1F"/>
    <w:rsid w:val="000670FB"/>
    <w:rsid w:val="00067654"/>
    <w:rsid w:val="000701B4"/>
    <w:rsid w:val="00071160"/>
    <w:rsid w:val="00071A5A"/>
    <w:rsid w:val="000725C6"/>
    <w:rsid w:val="000729A9"/>
    <w:rsid w:val="000732DD"/>
    <w:rsid w:val="0007370F"/>
    <w:rsid w:val="00073DD9"/>
    <w:rsid w:val="00074194"/>
    <w:rsid w:val="0007494C"/>
    <w:rsid w:val="00074979"/>
    <w:rsid w:val="000749A7"/>
    <w:rsid w:val="00074AC9"/>
    <w:rsid w:val="00075073"/>
    <w:rsid w:val="00075330"/>
    <w:rsid w:val="000754F4"/>
    <w:rsid w:val="000756BD"/>
    <w:rsid w:val="00075AA7"/>
    <w:rsid w:val="00075AB9"/>
    <w:rsid w:val="000765AF"/>
    <w:rsid w:val="000766EC"/>
    <w:rsid w:val="000768FC"/>
    <w:rsid w:val="00076A58"/>
    <w:rsid w:val="00077827"/>
    <w:rsid w:val="00080640"/>
    <w:rsid w:val="000810DF"/>
    <w:rsid w:val="00081C02"/>
    <w:rsid w:val="00081E5F"/>
    <w:rsid w:val="000828A0"/>
    <w:rsid w:val="00083158"/>
    <w:rsid w:val="000836DE"/>
    <w:rsid w:val="00083FBC"/>
    <w:rsid w:val="000848E9"/>
    <w:rsid w:val="00084F1D"/>
    <w:rsid w:val="0008502F"/>
    <w:rsid w:val="0008547D"/>
    <w:rsid w:val="0008566C"/>
    <w:rsid w:val="00085C28"/>
    <w:rsid w:val="000863A5"/>
    <w:rsid w:val="00086701"/>
    <w:rsid w:val="00086CB3"/>
    <w:rsid w:val="00086DFC"/>
    <w:rsid w:val="0008711E"/>
    <w:rsid w:val="000875A8"/>
    <w:rsid w:val="000876B3"/>
    <w:rsid w:val="00090059"/>
    <w:rsid w:val="000904BD"/>
    <w:rsid w:val="0009086A"/>
    <w:rsid w:val="00092514"/>
    <w:rsid w:val="00092638"/>
    <w:rsid w:val="000928C9"/>
    <w:rsid w:val="00092B6B"/>
    <w:rsid w:val="00092E72"/>
    <w:rsid w:val="000936F9"/>
    <w:rsid w:val="000938A1"/>
    <w:rsid w:val="000944FB"/>
    <w:rsid w:val="0009467E"/>
    <w:rsid w:val="0009473C"/>
    <w:rsid w:val="000959BD"/>
    <w:rsid w:val="000959E2"/>
    <w:rsid w:val="00096D41"/>
    <w:rsid w:val="00097BE9"/>
    <w:rsid w:val="000A0121"/>
    <w:rsid w:val="000A0A26"/>
    <w:rsid w:val="000A0B30"/>
    <w:rsid w:val="000A0DAE"/>
    <w:rsid w:val="000A30A6"/>
    <w:rsid w:val="000A370A"/>
    <w:rsid w:val="000A3859"/>
    <w:rsid w:val="000A4409"/>
    <w:rsid w:val="000A4D37"/>
    <w:rsid w:val="000A4D3D"/>
    <w:rsid w:val="000A4F59"/>
    <w:rsid w:val="000A5E7F"/>
    <w:rsid w:val="000A70D5"/>
    <w:rsid w:val="000A78BC"/>
    <w:rsid w:val="000B010D"/>
    <w:rsid w:val="000B0232"/>
    <w:rsid w:val="000B05F1"/>
    <w:rsid w:val="000B0866"/>
    <w:rsid w:val="000B1200"/>
    <w:rsid w:val="000B12D5"/>
    <w:rsid w:val="000B17E7"/>
    <w:rsid w:val="000B1B0B"/>
    <w:rsid w:val="000B1B42"/>
    <w:rsid w:val="000B24CB"/>
    <w:rsid w:val="000B2A05"/>
    <w:rsid w:val="000B2B84"/>
    <w:rsid w:val="000B2F36"/>
    <w:rsid w:val="000B2FE9"/>
    <w:rsid w:val="000B3824"/>
    <w:rsid w:val="000B39C8"/>
    <w:rsid w:val="000B3BF3"/>
    <w:rsid w:val="000B54B0"/>
    <w:rsid w:val="000B55DF"/>
    <w:rsid w:val="000B59AF"/>
    <w:rsid w:val="000B5EC7"/>
    <w:rsid w:val="000B6219"/>
    <w:rsid w:val="000B6605"/>
    <w:rsid w:val="000B74B2"/>
    <w:rsid w:val="000B7AB5"/>
    <w:rsid w:val="000B7D4D"/>
    <w:rsid w:val="000C0DCF"/>
    <w:rsid w:val="000C0E1E"/>
    <w:rsid w:val="000C1A39"/>
    <w:rsid w:val="000C1E94"/>
    <w:rsid w:val="000C2245"/>
    <w:rsid w:val="000C2C31"/>
    <w:rsid w:val="000C3030"/>
    <w:rsid w:val="000C31F0"/>
    <w:rsid w:val="000C33CC"/>
    <w:rsid w:val="000C3AA9"/>
    <w:rsid w:val="000C47C3"/>
    <w:rsid w:val="000C59BD"/>
    <w:rsid w:val="000C5D29"/>
    <w:rsid w:val="000C628C"/>
    <w:rsid w:val="000C7033"/>
    <w:rsid w:val="000C728F"/>
    <w:rsid w:val="000C7BF0"/>
    <w:rsid w:val="000C7C51"/>
    <w:rsid w:val="000C7E4C"/>
    <w:rsid w:val="000C7FFE"/>
    <w:rsid w:val="000D08CA"/>
    <w:rsid w:val="000D1ACE"/>
    <w:rsid w:val="000D2753"/>
    <w:rsid w:val="000D2E5D"/>
    <w:rsid w:val="000D355F"/>
    <w:rsid w:val="000D44E7"/>
    <w:rsid w:val="000D4E02"/>
    <w:rsid w:val="000D4E61"/>
    <w:rsid w:val="000D6D79"/>
    <w:rsid w:val="000D729E"/>
    <w:rsid w:val="000D7A53"/>
    <w:rsid w:val="000D7C59"/>
    <w:rsid w:val="000E00AD"/>
    <w:rsid w:val="000E13BA"/>
    <w:rsid w:val="000E176A"/>
    <w:rsid w:val="000E2739"/>
    <w:rsid w:val="000E27B9"/>
    <w:rsid w:val="000E2E46"/>
    <w:rsid w:val="000E2EDD"/>
    <w:rsid w:val="000E3651"/>
    <w:rsid w:val="000E38A6"/>
    <w:rsid w:val="000E457E"/>
    <w:rsid w:val="000E559D"/>
    <w:rsid w:val="000E57D0"/>
    <w:rsid w:val="000E5B63"/>
    <w:rsid w:val="000E6DFA"/>
    <w:rsid w:val="000E6F55"/>
    <w:rsid w:val="000E72B8"/>
    <w:rsid w:val="000F0A5F"/>
    <w:rsid w:val="000F0E9F"/>
    <w:rsid w:val="000F1F00"/>
    <w:rsid w:val="000F2436"/>
    <w:rsid w:val="000F262C"/>
    <w:rsid w:val="000F3CC5"/>
    <w:rsid w:val="000F4677"/>
    <w:rsid w:val="000F5098"/>
    <w:rsid w:val="000F5B71"/>
    <w:rsid w:val="000F6E0D"/>
    <w:rsid w:val="000F78B4"/>
    <w:rsid w:val="0010021C"/>
    <w:rsid w:val="00100663"/>
    <w:rsid w:val="0010070E"/>
    <w:rsid w:val="00100886"/>
    <w:rsid w:val="00101614"/>
    <w:rsid w:val="00101F29"/>
    <w:rsid w:val="00102511"/>
    <w:rsid w:val="00102A33"/>
    <w:rsid w:val="00102BCA"/>
    <w:rsid w:val="00103316"/>
    <w:rsid w:val="00103D8D"/>
    <w:rsid w:val="00104579"/>
    <w:rsid w:val="00105091"/>
    <w:rsid w:val="0010522F"/>
    <w:rsid w:val="0010541F"/>
    <w:rsid w:val="0010563E"/>
    <w:rsid w:val="00106A70"/>
    <w:rsid w:val="00106F01"/>
    <w:rsid w:val="001079AD"/>
    <w:rsid w:val="0011025F"/>
    <w:rsid w:val="00110297"/>
    <w:rsid w:val="00110DD2"/>
    <w:rsid w:val="00111AE0"/>
    <w:rsid w:val="00111CE7"/>
    <w:rsid w:val="00113339"/>
    <w:rsid w:val="0011416C"/>
    <w:rsid w:val="001147D4"/>
    <w:rsid w:val="00114996"/>
    <w:rsid w:val="00116330"/>
    <w:rsid w:val="00116DC0"/>
    <w:rsid w:val="00117774"/>
    <w:rsid w:val="001177B5"/>
    <w:rsid w:val="00117E1C"/>
    <w:rsid w:val="00120029"/>
    <w:rsid w:val="0012054A"/>
    <w:rsid w:val="001222AB"/>
    <w:rsid w:val="00122C89"/>
    <w:rsid w:val="00122D0F"/>
    <w:rsid w:val="0012322E"/>
    <w:rsid w:val="00123806"/>
    <w:rsid w:val="0012455F"/>
    <w:rsid w:val="00124635"/>
    <w:rsid w:val="00124A9A"/>
    <w:rsid w:val="0012515B"/>
    <w:rsid w:val="001254EA"/>
    <w:rsid w:val="00126083"/>
    <w:rsid w:val="00127C84"/>
    <w:rsid w:val="0013008A"/>
    <w:rsid w:val="001301FB"/>
    <w:rsid w:val="00130701"/>
    <w:rsid w:val="00130A35"/>
    <w:rsid w:val="00130D4E"/>
    <w:rsid w:val="001315B3"/>
    <w:rsid w:val="0013210D"/>
    <w:rsid w:val="0013213E"/>
    <w:rsid w:val="001335CE"/>
    <w:rsid w:val="00133A90"/>
    <w:rsid w:val="00133CF4"/>
    <w:rsid w:val="0013518B"/>
    <w:rsid w:val="0013543A"/>
    <w:rsid w:val="0013711A"/>
    <w:rsid w:val="0013749D"/>
    <w:rsid w:val="00140F50"/>
    <w:rsid w:val="001411AE"/>
    <w:rsid w:val="001412DF"/>
    <w:rsid w:val="0014132C"/>
    <w:rsid w:val="00143114"/>
    <w:rsid w:val="00143B00"/>
    <w:rsid w:val="00143D35"/>
    <w:rsid w:val="001442D8"/>
    <w:rsid w:val="001446B6"/>
    <w:rsid w:val="00144B66"/>
    <w:rsid w:val="00145364"/>
    <w:rsid w:val="00146A04"/>
    <w:rsid w:val="00146A28"/>
    <w:rsid w:val="00146E35"/>
    <w:rsid w:val="001470D6"/>
    <w:rsid w:val="00147353"/>
    <w:rsid w:val="001473AF"/>
    <w:rsid w:val="00150528"/>
    <w:rsid w:val="0015145E"/>
    <w:rsid w:val="00151F52"/>
    <w:rsid w:val="0015217A"/>
    <w:rsid w:val="00152580"/>
    <w:rsid w:val="0015332B"/>
    <w:rsid w:val="00153EAD"/>
    <w:rsid w:val="001548EB"/>
    <w:rsid w:val="00154987"/>
    <w:rsid w:val="00155168"/>
    <w:rsid w:val="001556DE"/>
    <w:rsid w:val="001557D5"/>
    <w:rsid w:val="00155982"/>
    <w:rsid w:val="0015603A"/>
    <w:rsid w:val="00156B0C"/>
    <w:rsid w:val="00156EF2"/>
    <w:rsid w:val="001572FC"/>
    <w:rsid w:val="00157991"/>
    <w:rsid w:val="00157FC2"/>
    <w:rsid w:val="0016023C"/>
    <w:rsid w:val="001606D6"/>
    <w:rsid w:val="00160864"/>
    <w:rsid w:val="00160A57"/>
    <w:rsid w:val="00160DC4"/>
    <w:rsid w:val="00161548"/>
    <w:rsid w:val="00162B46"/>
    <w:rsid w:val="00162F97"/>
    <w:rsid w:val="001632A4"/>
    <w:rsid w:val="001633BF"/>
    <w:rsid w:val="00163B0C"/>
    <w:rsid w:val="00163B58"/>
    <w:rsid w:val="00163CD1"/>
    <w:rsid w:val="00163D30"/>
    <w:rsid w:val="00164014"/>
    <w:rsid w:val="00164369"/>
    <w:rsid w:val="001648B8"/>
    <w:rsid w:val="00165176"/>
    <w:rsid w:val="00165493"/>
    <w:rsid w:val="00165D3B"/>
    <w:rsid w:val="00165F3C"/>
    <w:rsid w:val="00166069"/>
    <w:rsid w:val="00166156"/>
    <w:rsid w:val="00166194"/>
    <w:rsid w:val="00166426"/>
    <w:rsid w:val="001665C4"/>
    <w:rsid w:val="00166A89"/>
    <w:rsid w:val="00167ECD"/>
    <w:rsid w:val="0017033A"/>
    <w:rsid w:val="00170357"/>
    <w:rsid w:val="00170783"/>
    <w:rsid w:val="001714C3"/>
    <w:rsid w:val="001716BC"/>
    <w:rsid w:val="0017191A"/>
    <w:rsid w:val="00171D96"/>
    <w:rsid w:val="00171F7E"/>
    <w:rsid w:val="00172333"/>
    <w:rsid w:val="0017241C"/>
    <w:rsid w:val="0017259E"/>
    <w:rsid w:val="001727A6"/>
    <w:rsid w:val="00172FFE"/>
    <w:rsid w:val="0017483B"/>
    <w:rsid w:val="00174C3A"/>
    <w:rsid w:val="00175ED2"/>
    <w:rsid w:val="00175EF7"/>
    <w:rsid w:val="00176D87"/>
    <w:rsid w:val="00176E52"/>
    <w:rsid w:val="001770EC"/>
    <w:rsid w:val="001776A6"/>
    <w:rsid w:val="0018120B"/>
    <w:rsid w:val="001813EA"/>
    <w:rsid w:val="001813F1"/>
    <w:rsid w:val="00181BC8"/>
    <w:rsid w:val="0018205E"/>
    <w:rsid w:val="0018242D"/>
    <w:rsid w:val="001825F8"/>
    <w:rsid w:val="00182936"/>
    <w:rsid w:val="00182C7C"/>
    <w:rsid w:val="00183060"/>
    <w:rsid w:val="00184767"/>
    <w:rsid w:val="00184D30"/>
    <w:rsid w:val="00184D99"/>
    <w:rsid w:val="00184DDF"/>
    <w:rsid w:val="0018533B"/>
    <w:rsid w:val="001859CB"/>
    <w:rsid w:val="00185DDA"/>
    <w:rsid w:val="00185F0F"/>
    <w:rsid w:val="00185F85"/>
    <w:rsid w:val="00186DE7"/>
    <w:rsid w:val="001873CD"/>
    <w:rsid w:val="0018743A"/>
    <w:rsid w:val="00187807"/>
    <w:rsid w:val="00187D06"/>
    <w:rsid w:val="00190908"/>
    <w:rsid w:val="00190B4C"/>
    <w:rsid w:val="00191603"/>
    <w:rsid w:val="001918D2"/>
    <w:rsid w:val="00192067"/>
    <w:rsid w:val="00192086"/>
    <w:rsid w:val="001922B8"/>
    <w:rsid w:val="00192F02"/>
    <w:rsid w:val="00193D19"/>
    <w:rsid w:val="001942B2"/>
    <w:rsid w:val="00194D7B"/>
    <w:rsid w:val="00195F4B"/>
    <w:rsid w:val="00196069"/>
    <w:rsid w:val="00196C0D"/>
    <w:rsid w:val="0019747D"/>
    <w:rsid w:val="00197A3C"/>
    <w:rsid w:val="00197B18"/>
    <w:rsid w:val="00197D1F"/>
    <w:rsid w:val="00197D8B"/>
    <w:rsid w:val="001A0368"/>
    <w:rsid w:val="001A08E5"/>
    <w:rsid w:val="001A1D8A"/>
    <w:rsid w:val="001A2B2A"/>
    <w:rsid w:val="001A36E6"/>
    <w:rsid w:val="001A3AD2"/>
    <w:rsid w:val="001A41D5"/>
    <w:rsid w:val="001A4CC0"/>
    <w:rsid w:val="001A4E2A"/>
    <w:rsid w:val="001A4E5C"/>
    <w:rsid w:val="001A4F1C"/>
    <w:rsid w:val="001A64F7"/>
    <w:rsid w:val="001A71B9"/>
    <w:rsid w:val="001A7356"/>
    <w:rsid w:val="001B0164"/>
    <w:rsid w:val="001B07A6"/>
    <w:rsid w:val="001B0F41"/>
    <w:rsid w:val="001B2345"/>
    <w:rsid w:val="001B2A35"/>
    <w:rsid w:val="001B2CC0"/>
    <w:rsid w:val="001B3075"/>
    <w:rsid w:val="001B35AA"/>
    <w:rsid w:val="001B3C0E"/>
    <w:rsid w:val="001B3F89"/>
    <w:rsid w:val="001B40ED"/>
    <w:rsid w:val="001B419F"/>
    <w:rsid w:val="001B451F"/>
    <w:rsid w:val="001B45B7"/>
    <w:rsid w:val="001B4958"/>
    <w:rsid w:val="001B537B"/>
    <w:rsid w:val="001B5759"/>
    <w:rsid w:val="001B5EA5"/>
    <w:rsid w:val="001B5F5D"/>
    <w:rsid w:val="001B5FB9"/>
    <w:rsid w:val="001B63E0"/>
    <w:rsid w:val="001B693C"/>
    <w:rsid w:val="001B6B4F"/>
    <w:rsid w:val="001B7382"/>
    <w:rsid w:val="001B7B11"/>
    <w:rsid w:val="001C097E"/>
    <w:rsid w:val="001C1042"/>
    <w:rsid w:val="001C1288"/>
    <w:rsid w:val="001C18C1"/>
    <w:rsid w:val="001C1B0D"/>
    <w:rsid w:val="001C1FE3"/>
    <w:rsid w:val="001C2A96"/>
    <w:rsid w:val="001C321C"/>
    <w:rsid w:val="001C380F"/>
    <w:rsid w:val="001C4708"/>
    <w:rsid w:val="001C4E31"/>
    <w:rsid w:val="001C66FD"/>
    <w:rsid w:val="001C76D2"/>
    <w:rsid w:val="001C7BE8"/>
    <w:rsid w:val="001D09F3"/>
    <w:rsid w:val="001D0A29"/>
    <w:rsid w:val="001D0AAA"/>
    <w:rsid w:val="001D26F2"/>
    <w:rsid w:val="001D26F3"/>
    <w:rsid w:val="001D2C9F"/>
    <w:rsid w:val="001D4C1B"/>
    <w:rsid w:val="001D4D85"/>
    <w:rsid w:val="001D5139"/>
    <w:rsid w:val="001D54C5"/>
    <w:rsid w:val="001D5879"/>
    <w:rsid w:val="001D7060"/>
    <w:rsid w:val="001E0ED8"/>
    <w:rsid w:val="001E1531"/>
    <w:rsid w:val="001E1C17"/>
    <w:rsid w:val="001E1DA4"/>
    <w:rsid w:val="001E2636"/>
    <w:rsid w:val="001E27A7"/>
    <w:rsid w:val="001E36CC"/>
    <w:rsid w:val="001E4E32"/>
    <w:rsid w:val="001E5658"/>
    <w:rsid w:val="001E5D5D"/>
    <w:rsid w:val="001E5DB7"/>
    <w:rsid w:val="001E6A4F"/>
    <w:rsid w:val="001E6F22"/>
    <w:rsid w:val="001E7AA5"/>
    <w:rsid w:val="001E7BD8"/>
    <w:rsid w:val="001F097C"/>
    <w:rsid w:val="001F1099"/>
    <w:rsid w:val="001F12C7"/>
    <w:rsid w:val="001F157D"/>
    <w:rsid w:val="001F15BC"/>
    <w:rsid w:val="001F1695"/>
    <w:rsid w:val="001F1A88"/>
    <w:rsid w:val="001F1AD2"/>
    <w:rsid w:val="001F1BD2"/>
    <w:rsid w:val="001F2BD5"/>
    <w:rsid w:val="001F32BC"/>
    <w:rsid w:val="001F456E"/>
    <w:rsid w:val="001F4B64"/>
    <w:rsid w:val="001F51F5"/>
    <w:rsid w:val="001F5601"/>
    <w:rsid w:val="001F5A7F"/>
    <w:rsid w:val="001F6123"/>
    <w:rsid w:val="001F62FB"/>
    <w:rsid w:val="001F6858"/>
    <w:rsid w:val="001F6D45"/>
    <w:rsid w:val="001F7398"/>
    <w:rsid w:val="001F7769"/>
    <w:rsid w:val="002000A3"/>
    <w:rsid w:val="0020053D"/>
    <w:rsid w:val="00200A0A"/>
    <w:rsid w:val="00200AF8"/>
    <w:rsid w:val="00200C7A"/>
    <w:rsid w:val="002011E7"/>
    <w:rsid w:val="002015E3"/>
    <w:rsid w:val="00201F1C"/>
    <w:rsid w:val="00202304"/>
    <w:rsid w:val="00202832"/>
    <w:rsid w:val="00202CC0"/>
    <w:rsid w:val="00202EC5"/>
    <w:rsid w:val="0020321D"/>
    <w:rsid w:val="00203410"/>
    <w:rsid w:val="00203B5F"/>
    <w:rsid w:val="00204A1B"/>
    <w:rsid w:val="00204C4A"/>
    <w:rsid w:val="00204C87"/>
    <w:rsid w:val="002058AB"/>
    <w:rsid w:val="00205D00"/>
    <w:rsid w:val="00205EF0"/>
    <w:rsid w:val="0020615D"/>
    <w:rsid w:val="00207B56"/>
    <w:rsid w:val="00207C3E"/>
    <w:rsid w:val="002101B0"/>
    <w:rsid w:val="002101B3"/>
    <w:rsid w:val="00211741"/>
    <w:rsid w:val="002118E4"/>
    <w:rsid w:val="00212A0C"/>
    <w:rsid w:val="00212DD9"/>
    <w:rsid w:val="00213452"/>
    <w:rsid w:val="002135F6"/>
    <w:rsid w:val="00214B1C"/>
    <w:rsid w:val="00215B0B"/>
    <w:rsid w:val="00215CCD"/>
    <w:rsid w:val="002162CF"/>
    <w:rsid w:val="002166AA"/>
    <w:rsid w:val="00217070"/>
    <w:rsid w:val="00217CFC"/>
    <w:rsid w:val="00217F3B"/>
    <w:rsid w:val="00220516"/>
    <w:rsid w:val="00220555"/>
    <w:rsid w:val="00220FB0"/>
    <w:rsid w:val="002211D2"/>
    <w:rsid w:val="00221D51"/>
    <w:rsid w:val="00221E2D"/>
    <w:rsid w:val="00222132"/>
    <w:rsid w:val="00222161"/>
    <w:rsid w:val="00222663"/>
    <w:rsid w:val="00222DD1"/>
    <w:rsid w:val="00222FA1"/>
    <w:rsid w:val="002236C4"/>
    <w:rsid w:val="002236ED"/>
    <w:rsid w:val="0022384E"/>
    <w:rsid w:val="00223961"/>
    <w:rsid w:val="00223B55"/>
    <w:rsid w:val="002243BE"/>
    <w:rsid w:val="002244A5"/>
    <w:rsid w:val="00224571"/>
    <w:rsid w:val="00225669"/>
    <w:rsid w:val="00225908"/>
    <w:rsid w:val="00226D05"/>
    <w:rsid w:val="0022701D"/>
    <w:rsid w:val="002273FE"/>
    <w:rsid w:val="002274BC"/>
    <w:rsid w:val="00227AB8"/>
    <w:rsid w:val="00230523"/>
    <w:rsid w:val="0023071E"/>
    <w:rsid w:val="0023087E"/>
    <w:rsid w:val="00230AF2"/>
    <w:rsid w:val="0023108E"/>
    <w:rsid w:val="00232297"/>
    <w:rsid w:val="0023237D"/>
    <w:rsid w:val="002325DE"/>
    <w:rsid w:val="002327CC"/>
    <w:rsid w:val="0023290D"/>
    <w:rsid w:val="00233323"/>
    <w:rsid w:val="0023348A"/>
    <w:rsid w:val="00233B70"/>
    <w:rsid w:val="00234158"/>
    <w:rsid w:val="00234BE3"/>
    <w:rsid w:val="0023518C"/>
    <w:rsid w:val="00236848"/>
    <w:rsid w:val="00236C83"/>
    <w:rsid w:val="0023784B"/>
    <w:rsid w:val="0023792B"/>
    <w:rsid w:val="00237A79"/>
    <w:rsid w:val="00237B01"/>
    <w:rsid w:val="0024065C"/>
    <w:rsid w:val="00241048"/>
    <w:rsid w:val="0024118C"/>
    <w:rsid w:val="0024127F"/>
    <w:rsid w:val="002414FC"/>
    <w:rsid w:val="0024172E"/>
    <w:rsid w:val="00241EC8"/>
    <w:rsid w:val="00241FD5"/>
    <w:rsid w:val="002429C1"/>
    <w:rsid w:val="002443D4"/>
    <w:rsid w:val="00244ACD"/>
    <w:rsid w:val="002450E2"/>
    <w:rsid w:val="002454BC"/>
    <w:rsid w:val="0024565A"/>
    <w:rsid w:val="00245B99"/>
    <w:rsid w:val="00246535"/>
    <w:rsid w:val="00247CDF"/>
    <w:rsid w:val="00247D44"/>
    <w:rsid w:val="00247D72"/>
    <w:rsid w:val="0025137F"/>
    <w:rsid w:val="00252302"/>
    <w:rsid w:val="00252C2E"/>
    <w:rsid w:val="00253836"/>
    <w:rsid w:val="002538CC"/>
    <w:rsid w:val="0025452E"/>
    <w:rsid w:val="00254D59"/>
    <w:rsid w:val="00254F5E"/>
    <w:rsid w:val="00255119"/>
    <w:rsid w:val="00256682"/>
    <w:rsid w:val="00256A46"/>
    <w:rsid w:val="00256E5B"/>
    <w:rsid w:val="002572CB"/>
    <w:rsid w:val="0026003F"/>
    <w:rsid w:val="00260672"/>
    <w:rsid w:val="002613D3"/>
    <w:rsid w:val="0026178E"/>
    <w:rsid w:val="00261A3D"/>
    <w:rsid w:val="00261A5F"/>
    <w:rsid w:val="00261FAA"/>
    <w:rsid w:val="0026220D"/>
    <w:rsid w:val="00264242"/>
    <w:rsid w:val="002642A5"/>
    <w:rsid w:val="002645BD"/>
    <w:rsid w:val="00264DEF"/>
    <w:rsid w:val="00265EB7"/>
    <w:rsid w:val="00265EDD"/>
    <w:rsid w:val="00266559"/>
    <w:rsid w:val="00266985"/>
    <w:rsid w:val="00267443"/>
    <w:rsid w:val="00267467"/>
    <w:rsid w:val="00267E26"/>
    <w:rsid w:val="002708C7"/>
    <w:rsid w:val="00271A6E"/>
    <w:rsid w:val="00272E2F"/>
    <w:rsid w:val="00272EAD"/>
    <w:rsid w:val="0027367C"/>
    <w:rsid w:val="00273908"/>
    <w:rsid w:val="0027481E"/>
    <w:rsid w:val="00274D0E"/>
    <w:rsid w:val="002751C7"/>
    <w:rsid w:val="00276EB4"/>
    <w:rsid w:val="00277064"/>
    <w:rsid w:val="0028109F"/>
    <w:rsid w:val="00282EFB"/>
    <w:rsid w:val="002832FC"/>
    <w:rsid w:val="00283746"/>
    <w:rsid w:val="002838CB"/>
    <w:rsid w:val="00283CD2"/>
    <w:rsid w:val="002847EE"/>
    <w:rsid w:val="0028494F"/>
    <w:rsid w:val="00284DC0"/>
    <w:rsid w:val="00285D68"/>
    <w:rsid w:val="00285EE7"/>
    <w:rsid w:val="00286CD0"/>
    <w:rsid w:val="002875AD"/>
    <w:rsid w:val="002876BB"/>
    <w:rsid w:val="00287876"/>
    <w:rsid w:val="00287A53"/>
    <w:rsid w:val="00290DDE"/>
    <w:rsid w:val="00291C32"/>
    <w:rsid w:val="00291C8D"/>
    <w:rsid w:val="00291C93"/>
    <w:rsid w:val="00291E82"/>
    <w:rsid w:val="00291F26"/>
    <w:rsid w:val="002931A5"/>
    <w:rsid w:val="002934EA"/>
    <w:rsid w:val="002944FC"/>
    <w:rsid w:val="00294B0B"/>
    <w:rsid w:val="002950BD"/>
    <w:rsid w:val="00295416"/>
    <w:rsid w:val="00295C17"/>
    <w:rsid w:val="002960BE"/>
    <w:rsid w:val="00297B26"/>
    <w:rsid w:val="00297B7E"/>
    <w:rsid w:val="00297BDA"/>
    <w:rsid w:val="002A003B"/>
    <w:rsid w:val="002A02F9"/>
    <w:rsid w:val="002A0FFF"/>
    <w:rsid w:val="002A1582"/>
    <w:rsid w:val="002A1B40"/>
    <w:rsid w:val="002A1B43"/>
    <w:rsid w:val="002A314F"/>
    <w:rsid w:val="002A4696"/>
    <w:rsid w:val="002A4EED"/>
    <w:rsid w:val="002A4FF6"/>
    <w:rsid w:val="002A559B"/>
    <w:rsid w:val="002A5C54"/>
    <w:rsid w:val="002A6016"/>
    <w:rsid w:val="002A6462"/>
    <w:rsid w:val="002A6483"/>
    <w:rsid w:val="002A75C8"/>
    <w:rsid w:val="002A79F2"/>
    <w:rsid w:val="002B03C5"/>
    <w:rsid w:val="002B0AF5"/>
    <w:rsid w:val="002B1E28"/>
    <w:rsid w:val="002B1E73"/>
    <w:rsid w:val="002B1F40"/>
    <w:rsid w:val="002B202B"/>
    <w:rsid w:val="002B3456"/>
    <w:rsid w:val="002B3CD4"/>
    <w:rsid w:val="002B3F26"/>
    <w:rsid w:val="002B42B2"/>
    <w:rsid w:val="002B5107"/>
    <w:rsid w:val="002B59DB"/>
    <w:rsid w:val="002B64E7"/>
    <w:rsid w:val="002B65A3"/>
    <w:rsid w:val="002B6CF6"/>
    <w:rsid w:val="002B7A47"/>
    <w:rsid w:val="002B7D60"/>
    <w:rsid w:val="002B7FA2"/>
    <w:rsid w:val="002C08AD"/>
    <w:rsid w:val="002C08C6"/>
    <w:rsid w:val="002C155B"/>
    <w:rsid w:val="002C1C56"/>
    <w:rsid w:val="002C1D76"/>
    <w:rsid w:val="002C1EEE"/>
    <w:rsid w:val="002C323C"/>
    <w:rsid w:val="002C36BC"/>
    <w:rsid w:val="002C3A56"/>
    <w:rsid w:val="002C3B3D"/>
    <w:rsid w:val="002C3BEB"/>
    <w:rsid w:val="002C449D"/>
    <w:rsid w:val="002C4E09"/>
    <w:rsid w:val="002C5E08"/>
    <w:rsid w:val="002C5EBD"/>
    <w:rsid w:val="002C6193"/>
    <w:rsid w:val="002C664C"/>
    <w:rsid w:val="002C66E0"/>
    <w:rsid w:val="002C69B4"/>
    <w:rsid w:val="002C6D35"/>
    <w:rsid w:val="002C6FBC"/>
    <w:rsid w:val="002C7947"/>
    <w:rsid w:val="002C7A78"/>
    <w:rsid w:val="002D05E6"/>
    <w:rsid w:val="002D0E89"/>
    <w:rsid w:val="002D1351"/>
    <w:rsid w:val="002D24D5"/>
    <w:rsid w:val="002D2CD7"/>
    <w:rsid w:val="002D30A8"/>
    <w:rsid w:val="002D349B"/>
    <w:rsid w:val="002D3937"/>
    <w:rsid w:val="002D3D94"/>
    <w:rsid w:val="002D4124"/>
    <w:rsid w:val="002D42C8"/>
    <w:rsid w:val="002D43E6"/>
    <w:rsid w:val="002D4BC1"/>
    <w:rsid w:val="002D4E63"/>
    <w:rsid w:val="002D4E98"/>
    <w:rsid w:val="002D4FAC"/>
    <w:rsid w:val="002D5ACE"/>
    <w:rsid w:val="002D5F30"/>
    <w:rsid w:val="002D65DE"/>
    <w:rsid w:val="002D6A57"/>
    <w:rsid w:val="002D6C0B"/>
    <w:rsid w:val="002D7237"/>
    <w:rsid w:val="002D74E9"/>
    <w:rsid w:val="002D7E34"/>
    <w:rsid w:val="002D7F45"/>
    <w:rsid w:val="002E024C"/>
    <w:rsid w:val="002E0747"/>
    <w:rsid w:val="002E0C2F"/>
    <w:rsid w:val="002E24A9"/>
    <w:rsid w:val="002E2A34"/>
    <w:rsid w:val="002E4799"/>
    <w:rsid w:val="002E4960"/>
    <w:rsid w:val="002E4AB1"/>
    <w:rsid w:val="002E4B2D"/>
    <w:rsid w:val="002E60D1"/>
    <w:rsid w:val="002E6166"/>
    <w:rsid w:val="002E6F41"/>
    <w:rsid w:val="002E73B9"/>
    <w:rsid w:val="002E7476"/>
    <w:rsid w:val="002E7DBB"/>
    <w:rsid w:val="002F03CD"/>
    <w:rsid w:val="002F0592"/>
    <w:rsid w:val="002F0F4A"/>
    <w:rsid w:val="002F10BA"/>
    <w:rsid w:val="002F1AD2"/>
    <w:rsid w:val="002F1AF6"/>
    <w:rsid w:val="002F200F"/>
    <w:rsid w:val="002F25F3"/>
    <w:rsid w:val="002F27E0"/>
    <w:rsid w:val="002F35B4"/>
    <w:rsid w:val="002F35EE"/>
    <w:rsid w:val="002F38B1"/>
    <w:rsid w:val="002F4507"/>
    <w:rsid w:val="002F51F8"/>
    <w:rsid w:val="002F5865"/>
    <w:rsid w:val="002F6434"/>
    <w:rsid w:val="002F687D"/>
    <w:rsid w:val="002F6F95"/>
    <w:rsid w:val="002F6FC0"/>
    <w:rsid w:val="002F71F4"/>
    <w:rsid w:val="002F7459"/>
    <w:rsid w:val="00300C7E"/>
    <w:rsid w:val="00300D3D"/>
    <w:rsid w:val="00301501"/>
    <w:rsid w:val="003016B8"/>
    <w:rsid w:val="00302313"/>
    <w:rsid w:val="00302776"/>
    <w:rsid w:val="003027B2"/>
    <w:rsid w:val="00302DBF"/>
    <w:rsid w:val="00303199"/>
    <w:rsid w:val="00303743"/>
    <w:rsid w:val="00303CDE"/>
    <w:rsid w:val="00304624"/>
    <w:rsid w:val="003048A5"/>
    <w:rsid w:val="00304A96"/>
    <w:rsid w:val="00305150"/>
    <w:rsid w:val="0030554E"/>
    <w:rsid w:val="003055FA"/>
    <w:rsid w:val="003059B6"/>
    <w:rsid w:val="00306326"/>
    <w:rsid w:val="00306EA0"/>
    <w:rsid w:val="0030733E"/>
    <w:rsid w:val="003074A5"/>
    <w:rsid w:val="00307528"/>
    <w:rsid w:val="00307E22"/>
    <w:rsid w:val="00307FA4"/>
    <w:rsid w:val="00310831"/>
    <w:rsid w:val="00310AE1"/>
    <w:rsid w:val="003112F4"/>
    <w:rsid w:val="0031164D"/>
    <w:rsid w:val="00311B31"/>
    <w:rsid w:val="003121D6"/>
    <w:rsid w:val="00312A73"/>
    <w:rsid w:val="00312F7A"/>
    <w:rsid w:val="0031445B"/>
    <w:rsid w:val="00315814"/>
    <w:rsid w:val="00315852"/>
    <w:rsid w:val="00316605"/>
    <w:rsid w:val="00316836"/>
    <w:rsid w:val="0031716F"/>
    <w:rsid w:val="00317F11"/>
    <w:rsid w:val="003208C3"/>
    <w:rsid w:val="003212E4"/>
    <w:rsid w:val="003217E8"/>
    <w:rsid w:val="003223BC"/>
    <w:rsid w:val="003225FA"/>
    <w:rsid w:val="0032299D"/>
    <w:rsid w:val="00322EDA"/>
    <w:rsid w:val="003239A4"/>
    <w:rsid w:val="00323D62"/>
    <w:rsid w:val="00323D7B"/>
    <w:rsid w:val="00324073"/>
    <w:rsid w:val="00324B9D"/>
    <w:rsid w:val="0032560C"/>
    <w:rsid w:val="003259D3"/>
    <w:rsid w:val="00325C87"/>
    <w:rsid w:val="00326152"/>
    <w:rsid w:val="00326401"/>
    <w:rsid w:val="00326D51"/>
    <w:rsid w:val="00326F80"/>
    <w:rsid w:val="00331BFC"/>
    <w:rsid w:val="00333548"/>
    <w:rsid w:val="00335268"/>
    <w:rsid w:val="0033571B"/>
    <w:rsid w:val="00335DB4"/>
    <w:rsid w:val="0033652C"/>
    <w:rsid w:val="00336E7B"/>
    <w:rsid w:val="003373A7"/>
    <w:rsid w:val="003404D4"/>
    <w:rsid w:val="0034091E"/>
    <w:rsid w:val="00340EC2"/>
    <w:rsid w:val="00341291"/>
    <w:rsid w:val="0034257C"/>
    <w:rsid w:val="003428DE"/>
    <w:rsid w:val="00342F0E"/>
    <w:rsid w:val="00342FFB"/>
    <w:rsid w:val="00343924"/>
    <w:rsid w:val="00343FC0"/>
    <w:rsid w:val="00344878"/>
    <w:rsid w:val="00344A53"/>
    <w:rsid w:val="00344C5A"/>
    <w:rsid w:val="003453E0"/>
    <w:rsid w:val="0034579D"/>
    <w:rsid w:val="003457C2"/>
    <w:rsid w:val="0034609B"/>
    <w:rsid w:val="003465E4"/>
    <w:rsid w:val="0034695B"/>
    <w:rsid w:val="003473EE"/>
    <w:rsid w:val="00350415"/>
    <w:rsid w:val="0035099B"/>
    <w:rsid w:val="003509B7"/>
    <w:rsid w:val="00351B12"/>
    <w:rsid w:val="00351C91"/>
    <w:rsid w:val="00352065"/>
    <w:rsid w:val="00352944"/>
    <w:rsid w:val="00352A06"/>
    <w:rsid w:val="00352AAF"/>
    <w:rsid w:val="00353894"/>
    <w:rsid w:val="00354072"/>
    <w:rsid w:val="00354D11"/>
    <w:rsid w:val="003557C7"/>
    <w:rsid w:val="0035583F"/>
    <w:rsid w:val="00355AA6"/>
    <w:rsid w:val="00355BD1"/>
    <w:rsid w:val="00355E23"/>
    <w:rsid w:val="00356367"/>
    <w:rsid w:val="003603FD"/>
    <w:rsid w:val="0036044F"/>
    <w:rsid w:val="00360F4E"/>
    <w:rsid w:val="003613DA"/>
    <w:rsid w:val="00361B0F"/>
    <w:rsid w:val="00362965"/>
    <w:rsid w:val="0036313B"/>
    <w:rsid w:val="003634FB"/>
    <w:rsid w:val="00364482"/>
    <w:rsid w:val="003645ED"/>
    <w:rsid w:val="00364ADF"/>
    <w:rsid w:val="00365026"/>
    <w:rsid w:val="00365573"/>
    <w:rsid w:val="003658F1"/>
    <w:rsid w:val="00366181"/>
    <w:rsid w:val="00367295"/>
    <w:rsid w:val="0036736C"/>
    <w:rsid w:val="0037042F"/>
    <w:rsid w:val="00370A39"/>
    <w:rsid w:val="00370CED"/>
    <w:rsid w:val="00370D4E"/>
    <w:rsid w:val="00370D8D"/>
    <w:rsid w:val="00371298"/>
    <w:rsid w:val="00371B07"/>
    <w:rsid w:val="00371E25"/>
    <w:rsid w:val="00371F0D"/>
    <w:rsid w:val="00372AAB"/>
    <w:rsid w:val="00372F6D"/>
    <w:rsid w:val="00373099"/>
    <w:rsid w:val="00373FF9"/>
    <w:rsid w:val="00374260"/>
    <w:rsid w:val="00376C56"/>
    <w:rsid w:val="00377626"/>
    <w:rsid w:val="00377659"/>
    <w:rsid w:val="003777A4"/>
    <w:rsid w:val="00377A0A"/>
    <w:rsid w:val="00377EF2"/>
    <w:rsid w:val="0038092E"/>
    <w:rsid w:val="003815E7"/>
    <w:rsid w:val="003816FA"/>
    <w:rsid w:val="00381D0A"/>
    <w:rsid w:val="00382A7B"/>
    <w:rsid w:val="00383061"/>
    <w:rsid w:val="00383EBA"/>
    <w:rsid w:val="00384045"/>
    <w:rsid w:val="0038413C"/>
    <w:rsid w:val="00384677"/>
    <w:rsid w:val="00384C5A"/>
    <w:rsid w:val="00384C6E"/>
    <w:rsid w:val="00384DAD"/>
    <w:rsid w:val="003851C0"/>
    <w:rsid w:val="0038599F"/>
    <w:rsid w:val="00385A31"/>
    <w:rsid w:val="00387619"/>
    <w:rsid w:val="00387A97"/>
    <w:rsid w:val="003900F3"/>
    <w:rsid w:val="00390741"/>
    <w:rsid w:val="00390823"/>
    <w:rsid w:val="003908A0"/>
    <w:rsid w:val="00390A5F"/>
    <w:rsid w:val="00390C7E"/>
    <w:rsid w:val="00392D25"/>
    <w:rsid w:val="003932C3"/>
    <w:rsid w:val="00393B00"/>
    <w:rsid w:val="00393FB0"/>
    <w:rsid w:val="0039439A"/>
    <w:rsid w:val="0039668B"/>
    <w:rsid w:val="00396F9F"/>
    <w:rsid w:val="00397947"/>
    <w:rsid w:val="003A0C5C"/>
    <w:rsid w:val="003A1799"/>
    <w:rsid w:val="003A20F2"/>
    <w:rsid w:val="003A2333"/>
    <w:rsid w:val="003A2C7D"/>
    <w:rsid w:val="003A33D0"/>
    <w:rsid w:val="003A3D7D"/>
    <w:rsid w:val="003A3FA2"/>
    <w:rsid w:val="003A4658"/>
    <w:rsid w:val="003A4C05"/>
    <w:rsid w:val="003A5409"/>
    <w:rsid w:val="003A5565"/>
    <w:rsid w:val="003A6643"/>
    <w:rsid w:val="003A6F1A"/>
    <w:rsid w:val="003A7267"/>
    <w:rsid w:val="003A7422"/>
    <w:rsid w:val="003A7AFF"/>
    <w:rsid w:val="003B02B0"/>
    <w:rsid w:val="003B137B"/>
    <w:rsid w:val="003B1527"/>
    <w:rsid w:val="003B16E7"/>
    <w:rsid w:val="003B1DB5"/>
    <w:rsid w:val="003B1DC2"/>
    <w:rsid w:val="003B2859"/>
    <w:rsid w:val="003B2A81"/>
    <w:rsid w:val="003B4803"/>
    <w:rsid w:val="003B4AA0"/>
    <w:rsid w:val="003B4BBC"/>
    <w:rsid w:val="003B5063"/>
    <w:rsid w:val="003B51BF"/>
    <w:rsid w:val="003B5E8D"/>
    <w:rsid w:val="003B6842"/>
    <w:rsid w:val="003B69CC"/>
    <w:rsid w:val="003B739A"/>
    <w:rsid w:val="003B7C44"/>
    <w:rsid w:val="003C03EB"/>
    <w:rsid w:val="003C103E"/>
    <w:rsid w:val="003C114B"/>
    <w:rsid w:val="003C1CB6"/>
    <w:rsid w:val="003C28AD"/>
    <w:rsid w:val="003C2D24"/>
    <w:rsid w:val="003C33E8"/>
    <w:rsid w:val="003C39CC"/>
    <w:rsid w:val="003C3A66"/>
    <w:rsid w:val="003C3B25"/>
    <w:rsid w:val="003C5343"/>
    <w:rsid w:val="003C560C"/>
    <w:rsid w:val="003C5BDA"/>
    <w:rsid w:val="003C6004"/>
    <w:rsid w:val="003C6265"/>
    <w:rsid w:val="003C6293"/>
    <w:rsid w:val="003C6C29"/>
    <w:rsid w:val="003C7DDF"/>
    <w:rsid w:val="003D0A5B"/>
    <w:rsid w:val="003D145B"/>
    <w:rsid w:val="003D20C6"/>
    <w:rsid w:val="003D2622"/>
    <w:rsid w:val="003D2AF6"/>
    <w:rsid w:val="003D2F06"/>
    <w:rsid w:val="003D3262"/>
    <w:rsid w:val="003D3C20"/>
    <w:rsid w:val="003D461D"/>
    <w:rsid w:val="003D5266"/>
    <w:rsid w:val="003D55FE"/>
    <w:rsid w:val="003D6D7A"/>
    <w:rsid w:val="003E0406"/>
    <w:rsid w:val="003E0CC5"/>
    <w:rsid w:val="003E1044"/>
    <w:rsid w:val="003E154B"/>
    <w:rsid w:val="003E2275"/>
    <w:rsid w:val="003E2293"/>
    <w:rsid w:val="003E2485"/>
    <w:rsid w:val="003E27E0"/>
    <w:rsid w:val="003E2A23"/>
    <w:rsid w:val="003E2A2B"/>
    <w:rsid w:val="003E2D6B"/>
    <w:rsid w:val="003E2F33"/>
    <w:rsid w:val="003E365B"/>
    <w:rsid w:val="003E3822"/>
    <w:rsid w:val="003E39EC"/>
    <w:rsid w:val="003E3D21"/>
    <w:rsid w:val="003E40B1"/>
    <w:rsid w:val="003E4EE9"/>
    <w:rsid w:val="003E51F3"/>
    <w:rsid w:val="003E5C31"/>
    <w:rsid w:val="003E5EE5"/>
    <w:rsid w:val="003E61DE"/>
    <w:rsid w:val="003F040C"/>
    <w:rsid w:val="003F088A"/>
    <w:rsid w:val="003F0D11"/>
    <w:rsid w:val="003F24DC"/>
    <w:rsid w:val="003F25D9"/>
    <w:rsid w:val="003F2D79"/>
    <w:rsid w:val="003F47C8"/>
    <w:rsid w:val="003F47D3"/>
    <w:rsid w:val="003F497F"/>
    <w:rsid w:val="003F64D9"/>
    <w:rsid w:val="003F6783"/>
    <w:rsid w:val="003F6788"/>
    <w:rsid w:val="003F7CC7"/>
    <w:rsid w:val="003F7EAE"/>
    <w:rsid w:val="003F7ECF"/>
    <w:rsid w:val="004000BF"/>
    <w:rsid w:val="00400517"/>
    <w:rsid w:val="00401195"/>
    <w:rsid w:val="0040158E"/>
    <w:rsid w:val="0040292B"/>
    <w:rsid w:val="00402C71"/>
    <w:rsid w:val="00402E0A"/>
    <w:rsid w:val="0040331B"/>
    <w:rsid w:val="004036A7"/>
    <w:rsid w:val="004036A8"/>
    <w:rsid w:val="00403704"/>
    <w:rsid w:val="0040378D"/>
    <w:rsid w:val="00403DA7"/>
    <w:rsid w:val="00403E4C"/>
    <w:rsid w:val="00403FE0"/>
    <w:rsid w:val="0040480A"/>
    <w:rsid w:val="0040497F"/>
    <w:rsid w:val="00404AC6"/>
    <w:rsid w:val="00404CDC"/>
    <w:rsid w:val="004051C4"/>
    <w:rsid w:val="004051EE"/>
    <w:rsid w:val="00405B51"/>
    <w:rsid w:val="00405D80"/>
    <w:rsid w:val="0040634B"/>
    <w:rsid w:val="0040767C"/>
    <w:rsid w:val="004078E3"/>
    <w:rsid w:val="00407D0E"/>
    <w:rsid w:val="0041052F"/>
    <w:rsid w:val="00410791"/>
    <w:rsid w:val="00410BBF"/>
    <w:rsid w:val="00411930"/>
    <w:rsid w:val="00411EA5"/>
    <w:rsid w:val="004122BF"/>
    <w:rsid w:val="004138CF"/>
    <w:rsid w:val="0041498E"/>
    <w:rsid w:val="00414B1F"/>
    <w:rsid w:val="00415271"/>
    <w:rsid w:val="00415417"/>
    <w:rsid w:val="00415775"/>
    <w:rsid w:val="0041584A"/>
    <w:rsid w:val="004158A4"/>
    <w:rsid w:val="00415D16"/>
    <w:rsid w:val="00415EFF"/>
    <w:rsid w:val="00415F1C"/>
    <w:rsid w:val="00415F59"/>
    <w:rsid w:val="00416916"/>
    <w:rsid w:val="00416987"/>
    <w:rsid w:val="004170DC"/>
    <w:rsid w:val="00417BE8"/>
    <w:rsid w:val="00417F47"/>
    <w:rsid w:val="00421455"/>
    <w:rsid w:val="0042169D"/>
    <w:rsid w:val="00421AE8"/>
    <w:rsid w:val="004224B4"/>
    <w:rsid w:val="004234F4"/>
    <w:rsid w:val="004239F5"/>
    <w:rsid w:val="00424888"/>
    <w:rsid w:val="0042543D"/>
    <w:rsid w:val="00425512"/>
    <w:rsid w:val="00425C26"/>
    <w:rsid w:val="00426EAA"/>
    <w:rsid w:val="00426EB9"/>
    <w:rsid w:val="00430D9B"/>
    <w:rsid w:val="004312C2"/>
    <w:rsid w:val="00431496"/>
    <w:rsid w:val="00431862"/>
    <w:rsid w:val="0043247B"/>
    <w:rsid w:val="00432E45"/>
    <w:rsid w:val="00432F14"/>
    <w:rsid w:val="0043461A"/>
    <w:rsid w:val="00434725"/>
    <w:rsid w:val="00434D65"/>
    <w:rsid w:val="004356EC"/>
    <w:rsid w:val="00435766"/>
    <w:rsid w:val="00436DBF"/>
    <w:rsid w:val="0043706C"/>
    <w:rsid w:val="004370D6"/>
    <w:rsid w:val="00437406"/>
    <w:rsid w:val="00437571"/>
    <w:rsid w:val="0043796F"/>
    <w:rsid w:val="0044071F"/>
    <w:rsid w:val="004408B8"/>
    <w:rsid w:val="0044154A"/>
    <w:rsid w:val="00441CEB"/>
    <w:rsid w:val="00442554"/>
    <w:rsid w:val="004428AD"/>
    <w:rsid w:val="00442B3B"/>
    <w:rsid w:val="00442CB4"/>
    <w:rsid w:val="00443489"/>
    <w:rsid w:val="00443B42"/>
    <w:rsid w:val="00443C5B"/>
    <w:rsid w:val="004440D1"/>
    <w:rsid w:val="0044423F"/>
    <w:rsid w:val="00444D19"/>
    <w:rsid w:val="00444D1A"/>
    <w:rsid w:val="00444F21"/>
    <w:rsid w:val="00444FED"/>
    <w:rsid w:val="00446410"/>
    <w:rsid w:val="00450E2E"/>
    <w:rsid w:val="004510C7"/>
    <w:rsid w:val="004512FE"/>
    <w:rsid w:val="00451CA8"/>
    <w:rsid w:val="00451D66"/>
    <w:rsid w:val="0045214A"/>
    <w:rsid w:val="00452420"/>
    <w:rsid w:val="00452DEC"/>
    <w:rsid w:val="00453013"/>
    <w:rsid w:val="00453C9A"/>
    <w:rsid w:val="00453CAB"/>
    <w:rsid w:val="00453CDB"/>
    <w:rsid w:val="00454299"/>
    <w:rsid w:val="00454739"/>
    <w:rsid w:val="004552CA"/>
    <w:rsid w:val="00455586"/>
    <w:rsid w:val="004569B5"/>
    <w:rsid w:val="0045760F"/>
    <w:rsid w:val="004600D0"/>
    <w:rsid w:val="004602F7"/>
    <w:rsid w:val="004606D0"/>
    <w:rsid w:val="004607AB"/>
    <w:rsid w:val="00460C01"/>
    <w:rsid w:val="00461BD6"/>
    <w:rsid w:val="00461E93"/>
    <w:rsid w:val="0046209E"/>
    <w:rsid w:val="00462446"/>
    <w:rsid w:val="0046250C"/>
    <w:rsid w:val="00462A6B"/>
    <w:rsid w:val="00462C5B"/>
    <w:rsid w:val="00462F21"/>
    <w:rsid w:val="004634B0"/>
    <w:rsid w:val="0046384C"/>
    <w:rsid w:val="00463E70"/>
    <w:rsid w:val="004648BB"/>
    <w:rsid w:val="00464F8E"/>
    <w:rsid w:val="00465345"/>
    <w:rsid w:val="004653EE"/>
    <w:rsid w:val="0046583A"/>
    <w:rsid w:val="00465E9A"/>
    <w:rsid w:val="00465F1B"/>
    <w:rsid w:val="00467145"/>
    <w:rsid w:val="00467402"/>
    <w:rsid w:val="0046795E"/>
    <w:rsid w:val="00467CDF"/>
    <w:rsid w:val="00470391"/>
    <w:rsid w:val="00470801"/>
    <w:rsid w:val="00471209"/>
    <w:rsid w:val="004714AD"/>
    <w:rsid w:val="00471586"/>
    <w:rsid w:val="004720B3"/>
    <w:rsid w:val="00472471"/>
    <w:rsid w:val="00472810"/>
    <w:rsid w:val="00472D6F"/>
    <w:rsid w:val="00472ED1"/>
    <w:rsid w:val="0047312A"/>
    <w:rsid w:val="00474D92"/>
    <w:rsid w:val="00474DC6"/>
    <w:rsid w:val="00475500"/>
    <w:rsid w:val="004756CC"/>
    <w:rsid w:val="0047591A"/>
    <w:rsid w:val="00475D7A"/>
    <w:rsid w:val="00475F81"/>
    <w:rsid w:val="0047609C"/>
    <w:rsid w:val="00476E77"/>
    <w:rsid w:val="004779DF"/>
    <w:rsid w:val="004802C9"/>
    <w:rsid w:val="00480BD0"/>
    <w:rsid w:val="00481392"/>
    <w:rsid w:val="00482BE5"/>
    <w:rsid w:val="004833F6"/>
    <w:rsid w:val="00483697"/>
    <w:rsid w:val="0048372D"/>
    <w:rsid w:val="00483AA8"/>
    <w:rsid w:val="00483ABD"/>
    <w:rsid w:val="00483D0D"/>
    <w:rsid w:val="004848CA"/>
    <w:rsid w:val="00485B29"/>
    <w:rsid w:val="00485E43"/>
    <w:rsid w:val="00486112"/>
    <w:rsid w:val="004862E3"/>
    <w:rsid w:val="00486652"/>
    <w:rsid w:val="00487256"/>
    <w:rsid w:val="004878D2"/>
    <w:rsid w:val="00487BA6"/>
    <w:rsid w:val="004904EC"/>
    <w:rsid w:val="00491F7C"/>
    <w:rsid w:val="0049212B"/>
    <w:rsid w:val="00492164"/>
    <w:rsid w:val="004922DF"/>
    <w:rsid w:val="00492A3B"/>
    <w:rsid w:val="00492BE3"/>
    <w:rsid w:val="00493B2E"/>
    <w:rsid w:val="00493DEB"/>
    <w:rsid w:val="0049419E"/>
    <w:rsid w:val="00494BF6"/>
    <w:rsid w:val="0049520E"/>
    <w:rsid w:val="00495653"/>
    <w:rsid w:val="00495B10"/>
    <w:rsid w:val="00495B37"/>
    <w:rsid w:val="00495B9E"/>
    <w:rsid w:val="00495CCB"/>
    <w:rsid w:val="004961D7"/>
    <w:rsid w:val="00496C2D"/>
    <w:rsid w:val="00497060"/>
    <w:rsid w:val="00497C87"/>
    <w:rsid w:val="00497E28"/>
    <w:rsid w:val="004A0CD0"/>
    <w:rsid w:val="004A104C"/>
    <w:rsid w:val="004A1E93"/>
    <w:rsid w:val="004A1F67"/>
    <w:rsid w:val="004A2950"/>
    <w:rsid w:val="004A2A08"/>
    <w:rsid w:val="004A2B9D"/>
    <w:rsid w:val="004A453A"/>
    <w:rsid w:val="004A4C1D"/>
    <w:rsid w:val="004A4E76"/>
    <w:rsid w:val="004A532B"/>
    <w:rsid w:val="004A70E2"/>
    <w:rsid w:val="004A7FA2"/>
    <w:rsid w:val="004B0B56"/>
    <w:rsid w:val="004B0B89"/>
    <w:rsid w:val="004B144B"/>
    <w:rsid w:val="004B174A"/>
    <w:rsid w:val="004B1B60"/>
    <w:rsid w:val="004B1F3E"/>
    <w:rsid w:val="004B2704"/>
    <w:rsid w:val="004B3251"/>
    <w:rsid w:val="004B3BAF"/>
    <w:rsid w:val="004B3E00"/>
    <w:rsid w:val="004B5D74"/>
    <w:rsid w:val="004B61A3"/>
    <w:rsid w:val="004B6801"/>
    <w:rsid w:val="004B6F3E"/>
    <w:rsid w:val="004B7748"/>
    <w:rsid w:val="004C0163"/>
    <w:rsid w:val="004C08AD"/>
    <w:rsid w:val="004C0B49"/>
    <w:rsid w:val="004C1725"/>
    <w:rsid w:val="004C2497"/>
    <w:rsid w:val="004C2DFA"/>
    <w:rsid w:val="004C342C"/>
    <w:rsid w:val="004C440E"/>
    <w:rsid w:val="004C4429"/>
    <w:rsid w:val="004C5670"/>
    <w:rsid w:val="004C57A2"/>
    <w:rsid w:val="004C6DC5"/>
    <w:rsid w:val="004C6E2E"/>
    <w:rsid w:val="004C71C8"/>
    <w:rsid w:val="004D0397"/>
    <w:rsid w:val="004D13D1"/>
    <w:rsid w:val="004D2571"/>
    <w:rsid w:val="004D25B3"/>
    <w:rsid w:val="004D2A27"/>
    <w:rsid w:val="004D2E13"/>
    <w:rsid w:val="004D324D"/>
    <w:rsid w:val="004D38B5"/>
    <w:rsid w:val="004D3EB8"/>
    <w:rsid w:val="004D417C"/>
    <w:rsid w:val="004D4B17"/>
    <w:rsid w:val="004D4B45"/>
    <w:rsid w:val="004D4D79"/>
    <w:rsid w:val="004D510F"/>
    <w:rsid w:val="004D5285"/>
    <w:rsid w:val="004D5F1B"/>
    <w:rsid w:val="004D60C3"/>
    <w:rsid w:val="004D6418"/>
    <w:rsid w:val="004D641E"/>
    <w:rsid w:val="004D674B"/>
    <w:rsid w:val="004D688F"/>
    <w:rsid w:val="004E2159"/>
    <w:rsid w:val="004E25EF"/>
    <w:rsid w:val="004E2AB0"/>
    <w:rsid w:val="004E37D3"/>
    <w:rsid w:val="004E3E3F"/>
    <w:rsid w:val="004E416B"/>
    <w:rsid w:val="004E5CE3"/>
    <w:rsid w:val="004E5EED"/>
    <w:rsid w:val="004E65A4"/>
    <w:rsid w:val="004E748D"/>
    <w:rsid w:val="004E7653"/>
    <w:rsid w:val="004E7B73"/>
    <w:rsid w:val="004E7FF1"/>
    <w:rsid w:val="004F0136"/>
    <w:rsid w:val="004F03CD"/>
    <w:rsid w:val="004F06DE"/>
    <w:rsid w:val="004F2271"/>
    <w:rsid w:val="004F2CB8"/>
    <w:rsid w:val="004F32B1"/>
    <w:rsid w:val="004F3851"/>
    <w:rsid w:val="004F39A1"/>
    <w:rsid w:val="004F3D34"/>
    <w:rsid w:val="004F3F51"/>
    <w:rsid w:val="004F428D"/>
    <w:rsid w:val="004F4438"/>
    <w:rsid w:val="004F6D0C"/>
    <w:rsid w:val="0050005A"/>
    <w:rsid w:val="00500408"/>
    <w:rsid w:val="00501259"/>
    <w:rsid w:val="005013D9"/>
    <w:rsid w:val="0050171E"/>
    <w:rsid w:val="005017FF"/>
    <w:rsid w:val="00502034"/>
    <w:rsid w:val="005023E1"/>
    <w:rsid w:val="00502736"/>
    <w:rsid w:val="00502822"/>
    <w:rsid w:val="00502AA5"/>
    <w:rsid w:val="00502D23"/>
    <w:rsid w:val="005037D9"/>
    <w:rsid w:val="00503E05"/>
    <w:rsid w:val="00504A77"/>
    <w:rsid w:val="00504B4E"/>
    <w:rsid w:val="00504CB0"/>
    <w:rsid w:val="00505B08"/>
    <w:rsid w:val="00505B67"/>
    <w:rsid w:val="00505F3D"/>
    <w:rsid w:val="0050639E"/>
    <w:rsid w:val="00506C04"/>
    <w:rsid w:val="00507552"/>
    <w:rsid w:val="00507797"/>
    <w:rsid w:val="00510EC4"/>
    <w:rsid w:val="005110AE"/>
    <w:rsid w:val="0051119D"/>
    <w:rsid w:val="00511E68"/>
    <w:rsid w:val="0051254A"/>
    <w:rsid w:val="00512C4B"/>
    <w:rsid w:val="00512D7C"/>
    <w:rsid w:val="005134ED"/>
    <w:rsid w:val="00513645"/>
    <w:rsid w:val="00513711"/>
    <w:rsid w:val="00514371"/>
    <w:rsid w:val="00514531"/>
    <w:rsid w:val="005145DA"/>
    <w:rsid w:val="00514A3D"/>
    <w:rsid w:val="00514AD8"/>
    <w:rsid w:val="005157F8"/>
    <w:rsid w:val="00515813"/>
    <w:rsid w:val="00515907"/>
    <w:rsid w:val="005161B7"/>
    <w:rsid w:val="0051694F"/>
    <w:rsid w:val="00517308"/>
    <w:rsid w:val="00517398"/>
    <w:rsid w:val="00520690"/>
    <w:rsid w:val="00520EC3"/>
    <w:rsid w:val="00522C30"/>
    <w:rsid w:val="00522F6D"/>
    <w:rsid w:val="00523D6B"/>
    <w:rsid w:val="00524299"/>
    <w:rsid w:val="005247B7"/>
    <w:rsid w:val="00525478"/>
    <w:rsid w:val="0052601C"/>
    <w:rsid w:val="00527342"/>
    <w:rsid w:val="00530C69"/>
    <w:rsid w:val="00531156"/>
    <w:rsid w:val="00533D34"/>
    <w:rsid w:val="00534206"/>
    <w:rsid w:val="005345F1"/>
    <w:rsid w:val="00534777"/>
    <w:rsid w:val="00534ECC"/>
    <w:rsid w:val="00535BF2"/>
    <w:rsid w:val="00535C37"/>
    <w:rsid w:val="0053683A"/>
    <w:rsid w:val="00536CEC"/>
    <w:rsid w:val="005376DB"/>
    <w:rsid w:val="00537ACF"/>
    <w:rsid w:val="00537EAA"/>
    <w:rsid w:val="0054116A"/>
    <w:rsid w:val="0054189E"/>
    <w:rsid w:val="00541A84"/>
    <w:rsid w:val="00541F68"/>
    <w:rsid w:val="00542109"/>
    <w:rsid w:val="00542180"/>
    <w:rsid w:val="00542F90"/>
    <w:rsid w:val="00543017"/>
    <w:rsid w:val="00543B33"/>
    <w:rsid w:val="00543B77"/>
    <w:rsid w:val="0054404F"/>
    <w:rsid w:val="00544797"/>
    <w:rsid w:val="00544A54"/>
    <w:rsid w:val="00545382"/>
    <w:rsid w:val="00545A72"/>
    <w:rsid w:val="00546106"/>
    <w:rsid w:val="0054627F"/>
    <w:rsid w:val="005462E8"/>
    <w:rsid w:val="005467A7"/>
    <w:rsid w:val="0055019A"/>
    <w:rsid w:val="00550865"/>
    <w:rsid w:val="00550BAF"/>
    <w:rsid w:val="00550D40"/>
    <w:rsid w:val="00550DC2"/>
    <w:rsid w:val="00550F5A"/>
    <w:rsid w:val="005512D8"/>
    <w:rsid w:val="0055136D"/>
    <w:rsid w:val="0055257E"/>
    <w:rsid w:val="00552CA1"/>
    <w:rsid w:val="0055359D"/>
    <w:rsid w:val="005538FC"/>
    <w:rsid w:val="00553EFD"/>
    <w:rsid w:val="005547A5"/>
    <w:rsid w:val="00556E57"/>
    <w:rsid w:val="00557B34"/>
    <w:rsid w:val="005603B0"/>
    <w:rsid w:val="00560443"/>
    <w:rsid w:val="00560936"/>
    <w:rsid w:val="00560A31"/>
    <w:rsid w:val="00561106"/>
    <w:rsid w:val="00561BEC"/>
    <w:rsid w:val="00562458"/>
    <w:rsid w:val="005624D9"/>
    <w:rsid w:val="005625F3"/>
    <w:rsid w:val="00562788"/>
    <w:rsid w:val="00563E1C"/>
    <w:rsid w:val="005640D8"/>
    <w:rsid w:val="00564161"/>
    <w:rsid w:val="00564289"/>
    <w:rsid w:val="00564908"/>
    <w:rsid w:val="005651A4"/>
    <w:rsid w:val="00565794"/>
    <w:rsid w:val="005661C3"/>
    <w:rsid w:val="005668E9"/>
    <w:rsid w:val="00566B14"/>
    <w:rsid w:val="00566BED"/>
    <w:rsid w:val="00566D8D"/>
    <w:rsid w:val="00567406"/>
    <w:rsid w:val="00567994"/>
    <w:rsid w:val="00567C10"/>
    <w:rsid w:val="00567F1A"/>
    <w:rsid w:val="00571C5D"/>
    <w:rsid w:val="00571FF7"/>
    <w:rsid w:val="0057212F"/>
    <w:rsid w:val="005722C5"/>
    <w:rsid w:val="00572632"/>
    <w:rsid w:val="00573982"/>
    <w:rsid w:val="00574575"/>
    <w:rsid w:val="00574CE4"/>
    <w:rsid w:val="00575013"/>
    <w:rsid w:val="0057533C"/>
    <w:rsid w:val="00575856"/>
    <w:rsid w:val="00575A71"/>
    <w:rsid w:val="00575BB2"/>
    <w:rsid w:val="00576BC0"/>
    <w:rsid w:val="00577AFD"/>
    <w:rsid w:val="00577DC5"/>
    <w:rsid w:val="005810F6"/>
    <w:rsid w:val="005818E8"/>
    <w:rsid w:val="00582C85"/>
    <w:rsid w:val="005832B9"/>
    <w:rsid w:val="0058337A"/>
    <w:rsid w:val="00583BFE"/>
    <w:rsid w:val="00585095"/>
    <w:rsid w:val="005857C7"/>
    <w:rsid w:val="00585926"/>
    <w:rsid w:val="00586849"/>
    <w:rsid w:val="00587E5F"/>
    <w:rsid w:val="0059065E"/>
    <w:rsid w:val="00590FB8"/>
    <w:rsid w:val="00591416"/>
    <w:rsid w:val="00591F97"/>
    <w:rsid w:val="005923F4"/>
    <w:rsid w:val="005926C6"/>
    <w:rsid w:val="00592A9F"/>
    <w:rsid w:val="00592F35"/>
    <w:rsid w:val="0059375C"/>
    <w:rsid w:val="00594309"/>
    <w:rsid w:val="00595F14"/>
    <w:rsid w:val="0059656D"/>
    <w:rsid w:val="005967AE"/>
    <w:rsid w:val="00596E3E"/>
    <w:rsid w:val="00596F5B"/>
    <w:rsid w:val="0059781A"/>
    <w:rsid w:val="00597E98"/>
    <w:rsid w:val="00597EBA"/>
    <w:rsid w:val="005A0C90"/>
    <w:rsid w:val="005A27BE"/>
    <w:rsid w:val="005A2EA2"/>
    <w:rsid w:val="005A2FD8"/>
    <w:rsid w:val="005A35E5"/>
    <w:rsid w:val="005A3731"/>
    <w:rsid w:val="005A387B"/>
    <w:rsid w:val="005A3FE9"/>
    <w:rsid w:val="005A59C6"/>
    <w:rsid w:val="005A5BD9"/>
    <w:rsid w:val="005A5EF7"/>
    <w:rsid w:val="005A61C0"/>
    <w:rsid w:val="005A6C9E"/>
    <w:rsid w:val="005A7E99"/>
    <w:rsid w:val="005B0395"/>
    <w:rsid w:val="005B0707"/>
    <w:rsid w:val="005B0FB9"/>
    <w:rsid w:val="005B1210"/>
    <w:rsid w:val="005B16A3"/>
    <w:rsid w:val="005B23C7"/>
    <w:rsid w:val="005B2EA7"/>
    <w:rsid w:val="005B2F39"/>
    <w:rsid w:val="005B346C"/>
    <w:rsid w:val="005B386D"/>
    <w:rsid w:val="005B3BDE"/>
    <w:rsid w:val="005B3EDE"/>
    <w:rsid w:val="005B5BE2"/>
    <w:rsid w:val="005B62B7"/>
    <w:rsid w:val="005B6EB1"/>
    <w:rsid w:val="005C0D5D"/>
    <w:rsid w:val="005C1366"/>
    <w:rsid w:val="005C16A1"/>
    <w:rsid w:val="005C216C"/>
    <w:rsid w:val="005C27C1"/>
    <w:rsid w:val="005C2E05"/>
    <w:rsid w:val="005C3AF3"/>
    <w:rsid w:val="005C3D43"/>
    <w:rsid w:val="005C516F"/>
    <w:rsid w:val="005C53A8"/>
    <w:rsid w:val="005C5539"/>
    <w:rsid w:val="005C5DF3"/>
    <w:rsid w:val="005C61F8"/>
    <w:rsid w:val="005C6DBC"/>
    <w:rsid w:val="005C7A54"/>
    <w:rsid w:val="005C7AB0"/>
    <w:rsid w:val="005D0209"/>
    <w:rsid w:val="005D12B5"/>
    <w:rsid w:val="005D16F6"/>
    <w:rsid w:val="005D1D59"/>
    <w:rsid w:val="005D2513"/>
    <w:rsid w:val="005D2930"/>
    <w:rsid w:val="005D2AAA"/>
    <w:rsid w:val="005D2B48"/>
    <w:rsid w:val="005D2D08"/>
    <w:rsid w:val="005D35B8"/>
    <w:rsid w:val="005D4822"/>
    <w:rsid w:val="005D5392"/>
    <w:rsid w:val="005D53FA"/>
    <w:rsid w:val="005D56CB"/>
    <w:rsid w:val="005D57BD"/>
    <w:rsid w:val="005D5DC0"/>
    <w:rsid w:val="005D5DCE"/>
    <w:rsid w:val="005D62DA"/>
    <w:rsid w:val="005D6750"/>
    <w:rsid w:val="005D6929"/>
    <w:rsid w:val="005D6CB0"/>
    <w:rsid w:val="005D76AC"/>
    <w:rsid w:val="005D7F4D"/>
    <w:rsid w:val="005E0140"/>
    <w:rsid w:val="005E098E"/>
    <w:rsid w:val="005E1D4D"/>
    <w:rsid w:val="005E1D73"/>
    <w:rsid w:val="005E213A"/>
    <w:rsid w:val="005E2D28"/>
    <w:rsid w:val="005E2F45"/>
    <w:rsid w:val="005E365C"/>
    <w:rsid w:val="005E3DA5"/>
    <w:rsid w:val="005E40D7"/>
    <w:rsid w:val="005E4314"/>
    <w:rsid w:val="005E4D4C"/>
    <w:rsid w:val="005E5AE4"/>
    <w:rsid w:val="005E69A7"/>
    <w:rsid w:val="005E7688"/>
    <w:rsid w:val="005E778A"/>
    <w:rsid w:val="005E7A3F"/>
    <w:rsid w:val="005E7CB2"/>
    <w:rsid w:val="005E7D2D"/>
    <w:rsid w:val="005E7EB5"/>
    <w:rsid w:val="005E7F50"/>
    <w:rsid w:val="005F06D4"/>
    <w:rsid w:val="005F17A1"/>
    <w:rsid w:val="005F1837"/>
    <w:rsid w:val="005F1ABD"/>
    <w:rsid w:val="005F2110"/>
    <w:rsid w:val="005F280A"/>
    <w:rsid w:val="005F2971"/>
    <w:rsid w:val="005F31A8"/>
    <w:rsid w:val="005F36CA"/>
    <w:rsid w:val="005F40FF"/>
    <w:rsid w:val="005F429D"/>
    <w:rsid w:val="005F4810"/>
    <w:rsid w:val="005F49F4"/>
    <w:rsid w:val="005F5541"/>
    <w:rsid w:val="005F6280"/>
    <w:rsid w:val="005F676F"/>
    <w:rsid w:val="005F74BC"/>
    <w:rsid w:val="005F7654"/>
    <w:rsid w:val="005F7976"/>
    <w:rsid w:val="005F7AE4"/>
    <w:rsid w:val="0060054C"/>
    <w:rsid w:val="0060058C"/>
    <w:rsid w:val="00600605"/>
    <w:rsid w:val="00600B1F"/>
    <w:rsid w:val="00600B58"/>
    <w:rsid w:val="006015C2"/>
    <w:rsid w:val="006017AA"/>
    <w:rsid w:val="0060213F"/>
    <w:rsid w:val="00602159"/>
    <w:rsid w:val="00602443"/>
    <w:rsid w:val="00602689"/>
    <w:rsid w:val="00604E7F"/>
    <w:rsid w:val="00604E9F"/>
    <w:rsid w:val="00605649"/>
    <w:rsid w:val="00606B65"/>
    <w:rsid w:val="006073A7"/>
    <w:rsid w:val="00607458"/>
    <w:rsid w:val="006076FF"/>
    <w:rsid w:val="00607C8D"/>
    <w:rsid w:val="00607D77"/>
    <w:rsid w:val="00607E3B"/>
    <w:rsid w:val="00607F45"/>
    <w:rsid w:val="00610179"/>
    <w:rsid w:val="006101A1"/>
    <w:rsid w:val="00611BE8"/>
    <w:rsid w:val="00611E09"/>
    <w:rsid w:val="00611EF9"/>
    <w:rsid w:val="00613371"/>
    <w:rsid w:val="006138D0"/>
    <w:rsid w:val="00613CC2"/>
    <w:rsid w:val="00613CEB"/>
    <w:rsid w:val="00613E52"/>
    <w:rsid w:val="006143A9"/>
    <w:rsid w:val="0061497C"/>
    <w:rsid w:val="00614B9A"/>
    <w:rsid w:val="00614F45"/>
    <w:rsid w:val="006151B0"/>
    <w:rsid w:val="006152D6"/>
    <w:rsid w:val="00615AFF"/>
    <w:rsid w:val="00616038"/>
    <w:rsid w:val="006165E3"/>
    <w:rsid w:val="00617019"/>
    <w:rsid w:val="006173FB"/>
    <w:rsid w:val="00617B32"/>
    <w:rsid w:val="00617E44"/>
    <w:rsid w:val="006212FC"/>
    <w:rsid w:val="0062130D"/>
    <w:rsid w:val="00621762"/>
    <w:rsid w:val="00621A53"/>
    <w:rsid w:val="00621F47"/>
    <w:rsid w:val="00622C14"/>
    <w:rsid w:val="00623078"/>
    <w:rsid w:val="00623260"/>
    <w:rsid w:val="0062384C"/>
    <w:rsid w:val="00623BC6"/>
    <w:rsid w:val="00623D98"/>
    <w:rsid w:val="0062491A"/>
    <w:rsid w:val="00624A7C"/>
    <w:rsid w:val="00624D9A"/>
    <w:rsid w:val="006253B8"/>
    <w:rsid w:val="00625951"/>
    <w:rsid w:val="00625A56"/>
    <w:rsid w:val="00626D71"/>
    <w:rsid w:val="00627AD2"/>
    <w:rsid w:val="006308D5"/>
    <w:rsid w:val="00630E6A"/>
    <w:rsid w:val="00631A41"/>
    <w:rsid w:val="00632B87"/>
    <w:rsid w:val="00632D64"/>
    <w:rsid w:val="00633CA5"/>
    <w:rsid w:val="006344BB"/>
    <w:rsid w:val="006349EE"/>
    <w:rsid w:val="0063571C"/>
    <w:rsid w:val="006360F9"/>
    <w:rsid w:val="006366B6"/>
    <w:rsid w:val="0063684F"/>
    <w:rsid w:val="00636EBE"/>
    <w:rsid w:val="006371C7"/>
    <w:rsid w:val="00637AC2"/>
    <w:rsid w:val="00637B57"/>
    <w:rsid w:val="00637BA3"/>
    <w:rsid w:val="006403BB"/>
    <w:rsid w:val="00640CC5"/>
    <w:rsid w:val="00640F37"/>
    <w:rsid w:val="006424AA"/>
    <w:rsid w:val="00643240"/>
    <w:rsid w:val="00643437"/>
    <w:rsid w:val="00643752"/>
    <w:rsid w:val="00644782"/>
    <w:rsid w:val="006455A4"/>
    <w:rsid w:val="00645CAD"/>
    <w:rsid w:val="0064624B"/>
    <w:rsid w:val="0064688E"/>
    <w:rsid w:val="00647813"/>
    <w:rsid w:val="0065065E"/>
    <w:rsid w:val="006507D8"/>
    <w:rsid w:val="00650AA5"/>
    <w:rsid w:val="00651377"/>
    <w:rsid w:val="0065170D"/>
    <w:rsid w:val="00653111"/>
    <w:rsid w:val="006534EB"/>
    <w:rsid w:val="00653EEC"/>
    <w:rsid w:val="00654144"/>
    <w:rsid w:val="00654FFC"/>
    <w:rsid w:val="00655429"/>
    <w:rsid w:val="006555EB"/>
    <w:rsid w:val="006562CB"/>
    <w:rsid w:val="006568E8"/>
    <w:rsid w:val="006569D9"/>
    <w:rsid w:val="00656F4C"/>
    <w:rsid w:val="006572CB"/>
    <w:rsid w:val="00657318"/>
    <w:rsid w:val="0065738C"/>
    <w:rsid w:val="00657A7F"/>
    <w:rsid w:val="0066061C"/>
    <w:rsid w:val="00660906"/>
    <w:rsid w:val="006609E2"/>
    <w:rsid w:val="00661099"/>
    <w:rsid w:val="00661277"/>
    <w:rsid w:val="00661895"/>
    <w:rsid w:val="006620E1"/>
    <w:rsid w:val="00662133"/>
    <w:rsid w:val="006623EB"/>
    <w:rsid w:val="00662C2F"/>
    <w:rsid w:val="006632AD"/>
    <w:rsid w:val="00663E8E"/>
    <w:rsid w:val="00663EE8"/>
    <w:rsid w:val="00664922"/>
    <w:rsid w:val="00664ACD"/>
    <w:rsid w:val="00664B2F"/>
    <w:rsid w:val="00664BC4"/>
    <w:rsid w:val="00664E4F"/>
    <w:rsid w:val="00664ECF"/>
    <w:rsid w:val="0066521E"/>
    <w:rsid w:val="00665220"/>
    <w:rsid w:val="0066625C"/>
    <w:rsid w:val="006669AD"/>
    <w:rsid w:val="00667493"/>
    <w:rsid w:val="00667731"/>
    <w:rsid w:val="00670353"/>
    <w:rsid w:val="0067044F"/>
    <w:rsid w:val="00670754"/>
    <w:rsid w:val="006712C0"/>
    <w:rsid w:val="00671D69"/>
    <w:rsid w:val="006726C5"/>
    <w:rsid w:val="00674417"/>
    <w:rsid w:val="00674F45"/>
    <w:rsid w:val="00675E06"/>
    <w:rsid w:val="006770ED"/>
    <w:rsid w:val="0068068A"/>
    <w:rsid w:val="00680A34"/>
    <w:rsid w:val="00681B85"/>
    <w:rsid w:val="00682455"/>
    <w:rsid w:val="006832AC"/>
    <w:rsid w:val="00683584"/>
    <w:rsid w:val="00683B9B"/>
    <w:rsid w:val="006842E0"/>
    <w:rsid w:val="0068500E"/>
    <w:rsid w:val="0068523A"/>
    <w:rsid w:val="006855C0"/>
    <w:rsid w:val="00685818"/>
    <w:rsid w:val="00685DEB"/>
    <w:rsid w:val="00686AD1"/>
    <w:rsid w:val="0068760D"/>
    <w:rsid w:val="00687919"/>
    <w:rsid w:val="0069029C"/>
    <w:rsid w:val="006909D9"/>
    <w:rsid w:val="0069294F"/>
    <w:rsid w:val="00693489"/>
    <w:rsid w:val="006936EC"/>
    <w:rsid w:val="00693F0D"/>
    <w:rsid w:val="006941C4"/>
    <w:rsid w:val="006951A7"/>
    <w:rsid w:val="00695ACD"/>
    <w:rsid w:val="00696B09"/>
    <w:rsid w:val="00696B61"/>
    <w:rsid w:val="0069759C"/>
    <w:rsid w:val="00697F4F"/>
    <w:rsid w:val="006A193B"/>
    <w:rsid w:val="006A1ABF"/>
    <w:rsid w:val="006A318F"/>
    <w:rsid w:val="006A35C2"/>
    <w:rsid w:val="006A38E8"/>
    <w:rsid w:val="006A40E9"/>
    <w:rsid w:val="006A4764"/>
    <w:rsid w:val="006A4977"/>
    <w:rsid w:val="006A4C2F"/>
    <w:rsid w:val="006A4FEF"/>
    <w:rsid w:val="006A5159"/>
    <w:rsid w:val="006A51C1"/>
    <w:rsid w:val="006A5DBF"/>
    <w:rsid w:val="006A6429"/>
    <w:rsid w:val="006B00D8"/>
    <w:rsid w:val="006B074B"/>
    <w:rsid w:val="006B1479"/>
    <w:rsid w:val="006B22D3"/>
    <w:rsid w:val="006B235F"/>
    <w:rsid w:val="006B2DC0"/>
    <w:rsid w:val="006B2DEE"/>
    <w:rsid w:val="006B3192"/>
    <w:rsid w:val="006B3917"/>
    <w:rsid w:val="006B41CC"/>
    <w:rsid w:val="006B44CD"/>
    <w:rsid w:val="006B49BC"/>
    <w:rsid w:val="006B49BF"/>
    <w:rsid w:val="006B52D5"/>
    <w:rsid w:val="006B597F"/>
    <w:rsid w:val="006B6094"/>
    <w:rsid w:val="006B6C15"/>
    <w:rsid w:val="006B6F56"/>
    <w:rsid w:val="006C0786"/>
    <w:rsid w:val="006C0CBC"/>
    <w:rsid w:val="006C101E"/>
    <w:rsid w:val="006C1106"/>
    <w:rsid w:val="006C18DC"/>
    <w:rsid w:val="006C2420"/>
    <w:rsid w:val="006C245A"/>
    <w:rsid w:val="006C2C07"/>
    <w:rsid w:val="006C3949"/>
    <w:rsid w:val="006C3AED"/>
    <w:rsid w:val="006C4AFA"/>
    <w:rsid w:val="006C4E06"/>
    <w:rsid w:val="006C4F7B"/>
    <w:rsid w:val="006C5289"/>
    <w:rsid w:val="006C5E06"/>
    <w:rsid w:val="006C5EBF"/>
    <w:rsid w:val="006C60E7"/>
    <w:rsid w:val="006C71F9"/>
    <w:rsid w:val="006D0B66"/>
    <w:rsid w:val="006D0FE9"/>
    <w:rsid w:val="006D1574"/>
    <w:rsid w:val="006D2325"/>
    <w:rsid w:val="006D297B"/>
    <w:rsid w:val="006D2D35"/>
    <w:rsid w:val="006D33BF"/>
    <w:rsid w:val="006D3424"/>
    <w:rsid w:val="006D3D28"/>
    <w:rsid w:val="006D45D6"/>
    <w:rsid w:val="006D5287"/>
    <w:rsid w:val="006D541A"/>
    <w:rsid w:val="006D5D19"/>
    <w:rsid w:val="006D6971"/>
    <w:rsid w:val="006D6BA8"/>
    <w:rsid w:val="006D75B3"/>
    <w:rsid w:val="006D75EC"/>
    <w:rsid w:val="006D7664"/>
    <w:rsid w:val="006E0053"/>
    <w:rsid w:val="006E0136"/>
    <w:rsid w:val="006E0802"/>
    <w:rsid w:val="006E09CA"/>
    <w:rsid w:val="006E0A31"/>
    <w:rsid w:val="006E27EB"/>
    <w:rsid w:val="006E2B70"/>
    <w:rsid w:val="006E33C2"/>
    <w:rsid w:val="006E353F"/>
    <w:rsid w:val="006E4688"/>
    <w:rsid w:val="006E47BA"/>
    <w:rsid w:val="006E4FCC"/>
    <w:rsid w:val="006E5057"/>
    <w:rsid w:val="006E5752"/>
    <w:rsid w:val="006E5CCF"/>
    <w:rsid w:val="006E6115"/>
    <w:rsid w:val="006E6B8D"/>
    <w:rsid w:val="006E6CCF"/>
    <w:rsid w:val="006E7A7D"/>
    <w:rsid w:val="006E7F01"/>
    <w:rsid w:val="006F2728"/>
    <w:rsid w:val="006F2976"/>
    <w:rsid w:val="006F2D24"/>
    <w:rsid w:val="006F2DD8"/>
    <w:rsid w:val="006F3481"/>
    <w:rsid w:val="006F3F58"/>
    <w:rsid w:val="006F40F2"/>
    <w:rsid w:val="006F59D9"/>
    <w:rsid w:val="006F642A"/>
    <w:rsid w:val="006F6FE0"/>
    <w:rsid w:val="006F7123"/>
    <w:rsid w:val="006F74EF"/>
    <w:rsid w:val="006F7986"/>
    <w:rsid w:val="006F7A5C"/>
    <w:rsid w:val="006F7A69"/>
    <w:rsid w:val="006F7CA5"/>
    <w:rsid w:val="00700086"/>
    <w:rsid w:val="007008B7"/>
    <w:rsid w:val="00701142"/>
    <w:rsid w:val="00701BD6"/>
    <w:rsid w:val="0070256E"/>
    <w:rsid w:val="0070338E"/>
    <w:rsid w:val="00703A29"/>
    <w:rsid w:val="0070415E"/>
    <w:rsid w:val="007041CB"/>
    <w:rsid w:val="0070491B"/>
    <w:rsid w:val="00704FCD"/>
    <w:rsid w:val="007050D2"/>
    <w:rsid w:val="007056CF"/>
    <w:rsid w:val="0070588F"/>
    <w:rsid w:val="007070CC"/>
    <w:rsid w:val="0070747F"/>
    <w:rsid w:val="00707D8A"/>
    <w:rsid w:val="00710C6A"/>
    <w:rsid w:val="00710F2D"/>
    <w:rsid w:val="00710FD0"/>
    <w:rsid w:val="00711479"/>
    <w:rsid w:val="00711782"/>
    <w:rsid w:val="007117E4"/>
    <w:rsid w:val="007124F7"/>
    <w:rsid w:val="007125B8"/>
    <w:rsid w:val="007136F7"/>
    <w:rsid w:val="00714095"/>
    <w:rsid w:val="007144D7"/>
    <w:rsid w:val="00715135"/>
    <w:rsid w:val="00715A39"/>
    <w:rsid w:val="00715C27"/>
    <w:rsid w:val="00716A1F"/>
    <w:rsid w:val="007172F7"/>
    <w:rsid w:val="00717509"/>
    <w:rsid w:val="00720CB3"/>
    <w:rsid w:val="00720CCD"/>
    <w:rsid w:val="00721539"/>
    <w:rsid w:val="00721815"/>
    <w:rsid w:val="007219CB"/>
    <w:rsid w:val="007228E0"/>
    <w:rsid w:val="00722B12"/>
    <w:rsid w:val="0072302C"/>
    <w:rsid w:val="0072302F"/>
    <w:rsid w:val="00723128"/>
    <w:rsid w:val="007236E6"/>
    <w:rsid w:val="00723776"/>
    <w:rsid w:val="00724046"/>
    <w:rsid w:val="00724DF0"/>
    <w:rsid w:val="00725E81"/>
    <w:rsid w:val="00726430"/>
    <w:rsid w:val="007270E9"/>
    <w:rsid w:val="00727316"/>
    <w:rsid w:val="00727670"/>
    <w:rsid w:val="00727B2C"/>
    <w:rsid w:val="007309DA"/>
    <w:rsid w:val="007314D3"/>
    <w:rsid w:val="00732607"/>
    <w:rsid w:val="00732704"/>
    <w:rsid w:val="00732996"/>
    <w:rsid w:val="00733C2E"/>
    <w:rsid w:val="0073452B"/>
    <w:rsid w:val="00734539"/>
    <w:rsid w:val="007345D9"/>
    <w:rsid w:val="00734A46"/>
    <w:rsid w:val="00735172"/>
    <w:rsid w:val="007363B5"/>
    <w:rsid w:val="007374BC"/>
    <w:rsid w:val="00737847"/>
    <w:rsid w:val="0074004F"/>
    <w:rsid w:val="0074182C"/>
    <w:rsid w:val="00742459"/>
    <w:rsid w:val="007428CF"/>
    <w:rsid w:val="00743468"/>
    <w:rsid w:val="00743C70"/>
    <w:rsid w:val="00743F78"/>
    <w:rsid w:val="007449A8"/>
    <w:rsid w:val="007453BC"/>
    <w:rsid w:val="00745418"/>
    <w:rsid w:val="007454D2"/>
    <w:rsid w:val="007461D9"/>
    <w:rsid w:val="00746F5E"/>
    <w:rsid w:val="0074723C"/>
    <w:rsid w:val="0075014B"/>
    <w:rsid w:val="0075018F"/>
    <w:rsid w:val="00750790"/>
    <w:rsid w:val="00750D45"/>
    <w:rsid w:val="00750FC8"/>
    <w:rsid w:val="00751E1E"/>
    <w:rsid w:val="00752018"/>
    <w:rsid w:val="00752818"/>
    <w:rsid w:val="007537FA"/>
    <w:rsid w:val="0075444C"/>
    <w:rsid w:val="00754497"/>
    <w:rsid w:val="0075502B"/>
    <w:rsid w:val="007554FA"/>
    <w:rsid w:val="00755E0D"/>
    <w:rsid w:val="007566D3"/>
    <w:rsid w:val="00756ECF"/>
    <w:rsid w:val="00757EEB"/>
    <w:rsid w:val="0076065B"/>
    <w:rsid w:val="00760D0F"/>
    <w:rsid w:val="00761063"/>
    <w:rsid w:val="007613BD"/>
    <w:rsid w:val="00761520"/>
    <w:rsid w:val="00761C08"/>
    <w:rsid w:val="00763690"/>
    <w:rsid w:val="00763E8D"/>
    <w:rsid w:val="0076449C"/>
    <w:rsid w:val="00764CDB"/>
    <w:rsid w:val="00764D5C"/>
    <w:rsid w:val="00764EE8"/>
    <w:rsid w:val="007654D3"/>
    <w:rsid w:val="007656EF"/>
    <w:rsid w:val="007665D9"/>
    <w:rsid w:val="007666AF"/>
    <w:rsid w:val="00766AE4"/>
    <w:rsid w:val="00767400"/>
    <w:rsid w:val="00767B7B"/>
    <w:rsid w:val="00767F51"/>
    <w:rsid w:val="00770014"/>
    <w:rsid w:val="007707BA"/>
    <w:rsid w:val="00770D09"/>
    <w:rsid w:val="00770E59"/>
    <w:rsid w:val="007714B3"/>
    <w:rsid w:val="00772980"/>
    <w:rsid w:val="00773B9F"/>
    <w:rsid w:val="00774C4E"/>
    <w:rsid w:val="00775077"/>
    <w:rsid w:val="00775E70"/>
    <w:rsid w:val="007769BA"/>
    <w:rsid w:val="00776EF2"/>
    <w:rsid w:val="007800A8"/>
    <w:rsid w:val="00780854"/>
    <w:rsid w:val="00780AE4"/>
    <w:rsid w:val="0078116D"/>
    <w:rsid w:val="007815E4"/>
    <w:rsid w:val="00781908"/>
    <w:rsid w:val="00781CC4"/>
    <w:rsid w:val="00782787"/>
    <w:rsid w:val="007835B9"/>
    <w:rsid w:val="00783855"/>
    <w:rsid w:val="00783CCB"/>
    <w:rsid w:val="00783D36"/>
    <w:rsid w:val="0078459E"/>
    <w:rsid w:val="007846EF"/>
    <w:rsid w:val="00784C9A"/>
    <w:rsid w:val="00785049"/>
    <w:rsid w:val="007852DC"/>
    <w:rsid w:val="007860BC"/>
    <w:rsid w:val="0078626F"/>
    <w:rsid w:val="00786B03"/>
    <w:rsid w:val="007874E8"/>
    <w:rsid w:val="00787F24"/>
    <w:rsid w:val="00790414"/>
    <w:rsid w:val="0079097A"/>
    <w:rsid w:val="00790B4F"/>
    <w:rsid w:val="0079175C"/>
    <w:rsid w:val="00791DD4"/>
    <w:rsid w:val="00792751"/>
    <w:rsid w:val="00792AF5"/>
    <w:rsid w:val="00792EE8"/>
    <w:rsid w:val="00793C4B"/>
    <w:rsid w:val="00793ECD"/>
    <w:rsid w:val="00794515"/>
    <w:rsid w:val="00794800"/>
    <w:rsid w:val="00794870"/>
    <w:rsid w:val="00794A11"/>
    <w:rsid w:val="00794F7C"/>
    <w:rsid w:val="00795955"/>
    <w:rsid w:val="00795C32"/>
    <w:rsid w:val="007968AE"/>
    <w:rsid w:val="00797209"/>
    <w:rsid w:val="007A04BF"/>
    <w:rsid w:val="007A0BBD"/>
    <w:rsid w:val="007A0E64"/>
    <w:rsid w:val="007A0F27"/>
    <w:rsid w:val="007A0F8B"/>
    <w:rsid w:val="007A1185"/>
    <w:rsid w:val="007A12A5"/>
    <w:rsid w:val="007A14C0"/>
    <w:rsid w:val="007A1A26"/>
    <w:rsid w:val="007A2B8A"/>
    <w:rsid w:val="007A2B9A"/>
    <w:rsid w:val="007A39B8"/>
    <w:rsid w:val="007A3D49"/>
    <w:rsid w:val="007A410E"/>
    <w:rsid w:val="007A42A1"/>
    <w:rsid w:val="007A44F3"/>
    <w:rsid w:val="007A5BFE"/>
    <w:rsid w:val="007B108C"/>
    <w:rsid w:val="007B10C0"/>
    <w:rsid w:val="007B205F"/>
    <w:rsid w:val="007B20E5"/>
    <w:rsid w:val="007B232C"/>
    <w:rsid w:val="007B2B93"/>
    <w:rsid w:val="007B3517"/>
    <w:rsid w:val="007B416C"/>
    <w:rsid w:val="007B417D"/>
    <w:rsid w:val="007B4402"/>
    <w:rsid w:val="007B4F05"/>
    <w:rsid w:val="007B550C"/>
    <w:rsid w:val="007B58DB"/>
    <w:rsid w:val="007B5F11"/>
    <w:rsid w:val="007B63E6"/>
    <w:rsid w:val="007B6DE8"/>
    <w:rsid w:val="007B7423"/>
    <w:rsid w:val="007B78BD"/>
    <w:rsid w:val="007B7B9C"/>
    <w:rsid w:val="007C0137"/>
    <w:rsid w:val="007C03CC"/>
    <w:rsid w:val="007C05F5"/>
    <w:rsid w:val="007C07B9"/>
    <w:rsid w:val="007C0F47"/>
    <w:rsid w:val="007C0FA3"/>
    <w:rsid w:val="007C13E8"/>
    <w:rsid w:val="007C1A76"/>
    <w:rsid w:val="007C1BD1"/>
    <w:rsid w:val="007C2371"/>
    <w:rsid w:val="007C29AD"/>
    <w:rsid w:val="007C3113"/>
    <w:rsid w:val="007C37DA"/>
    <w:rsid w:val="007C38A0"/>
    <w:rsid w:val="007C3908"/>
    <w:rsid w:val="007C4775"/>
    <w:rsid w:val="007C5364"/>
    <w:rsid w:val="007C602F"/>
    <w:rsid w:val="007C657A"/>
    <w:rsid w:val="007D0CD5"/>
    <w:rsid w:val="007D0F63"/>
    <w:rsid w:val="007D168A"/>
    <w:rsid w:val="007D1ADC"/>
    <w:rsid w:val="007D2090"/>
    <w:rsid w:val="007D218F"/>
    <w:rsid w:val="007D28C9"/>
    <w:rsid w:val="007D2C34"/>
    <w:rsid w:val="007D334A"/>
    <w:rsid w:val="007D33B6"/>
    <w:rsid w:val="007D3673"/>
    <w:rsid w:val="007D3C8D"/>
    <w:rsid w:val="007D4C08"/>
    <w:rsid w:val="007D4CC5"/>
    <w:rsid w:val="007D51A7"/>
    <w:rsid w:val="007D579E"/>
    <w:rsid w:val="007D6690"/>
    <w:rsid w:val="007D6E86"/>
    <w:rsid w:val="007D7182"/>
    <w:rsid w:val="007D73BB"/>
    <w:rsid w:val="007D78B5"/>
    <w:rsid w:val="007E01C3"/>
    <w:rsid w:val="007E0909"/>
    <w:rsid w:val="007E0A7C"/>
    <w:rsid w:val="007E2687"/>
    <w:rsid w:val="007E272C"/>
    <w:rsid w:val="007E3376"/>
    <w:rsid w:val="007E344D"/>
    <w:rsid w:val="007E3DC3"/>
    <w:rsid w:val="007E3F89"/>
    <w:rsid w:val="007E452B"/>
    <w:rsid w:val="007E4DAE"/>
    <w:rsid w:val="007E5435"/>
    <w:rsid w:val="007E5A4F"/>
    <w:rsid w:val="007E5CE2"/>
    <w:rsid w:val="007E6573"/>
    <w:rsid w:val="007E65E8"/>
    <w:rsid w:val="007E6B6C"/>
    <w:rsid w:val="007E6CD8"/>
    <w:rsid w:val="007E707A"/>
    <w:rsid w:val="007E70B1"/>
    <w:rsid w:val="007E70B4"/>
    <w:rsid w:val="007E7C31"/>
    <w:rsid w:val="007F09BA"/>
    <w:rsid w:val="007F0C59"/>
    <w:rsid w:val="007F152B"/>
    <w:rsid w:val="007F1D04"/>
    <w:rsid w:val="007F216B"/>
    <w:rsid w:val="007F25FE"/>
    <w:rsid w:val="007F2A1D"/>
    <w:rsid w:val="007F2AAB"/>
    <w:rsid w:val="007F2C4B"/>
    <w:rsid w:val="007F316A"/>
    <w:rsid w:val="007F39C1"/>
    <w:rsid w:val="007F421A"/>
    <w:rsid w:val="007F4C08"/>
    <w:rsid w:val="007F53F1"/>
    <w:rsid w:val="007F5AF2"/>
    <w:rsid w:val="007F5E9C"/>
    <w:rsid w:val="007F69E7"/>
    <w:rsid w:val="007F7394"/>
    <w:rsid w:val="007F7717"/>
    <w:rsid w:val="007F7EFC"/>
    <w:rsid w:val="008003EF"/>
    <w:rsid w:val="00800E57"/>
    <w:rsid w:val="00801437"/>
    <w:rsid w:val="0080172F"/>
    <w:rsid w:val="00801918"/>
    <w:rsid w:val="0080313C"/>
    <w:rsid w:val="0080324F"/>
    <w:rsid w:val="0080348F"/>
    <w:rsid w:val="00803CDE"/>
    <w:rsid w:val="0080481D"/>
    <w:rsid w:val="0080510C"/>
    <w:rsid w:val="00805B3C"/>
    <w:rsid w:val="00805CDA"/>
    <w:rsid w:val="0080617B"/>
    <w:rsid w:val="00806267"/>
    <w:rsid w:val="00806535"/>
    <w:rsid w:val="0080691D"/>
    <w:rsid w:val="00807372"/>
    <w:rsid w:val="008074CE"/>
    <w:rsid w:val="00807897"/>
    <w:rsid w:val="008078DA"/>
    <w:rsid w:val="00807D41"/>
    <w:rsid w:val="00810A02"/>
    <w:rsid w:val="00810C51"/>
    <w:rsid w:val="00811110"/>
    <w:rsid w:val="0081187B"/>
    <w:rsid w:val="00812A06"/>
    <w:rsid w:val="00812F69"/>
    <w:rsid w:val="0081317C"/>
    <w:rsid w:val="00813939"/>
    <w:rsid w:val="00814C98"/>
    <w:rsid w:val="00814CBF"/>
    <w:rsid w:val="008156B2"/>
    <w:rsid w:val="008157A0"/>
    <w:rsid w:val="00816C14"/>
    <w:rsid w:val="008176C4"/>
    <w:rsid w:val="00817B6D"/>
    <w:rsid w:val="00817D6C"/>
    <w:rsid w:val="008207D7"/>
    <w:rsid w:val="00820F2A"/>
    <w:rsid w:val="00820FC3"/>
    <w:rsid w:val="0082121F"/>
    <w:rsid w:val="00821BC4"/>
    <w:rsid w:val="0082242D"/>
    <w:rsid w:val="00823595"/>
    <w:rsid w:val="0082380E"/>
    <w:rsid w:val="00823B6F"/>
    <w:rsid w:val="0082474B"/>
    <w:rsid w:val="00824EF3"/>
    <w:rsid w:val="008250F8"/>
    <w:rsid w:val="00825BE6"/>
    <w:rsid w:val="00825EB6"/>
    <w:rsid w:val="00825F14"/>
    <w:rsid w:val="008268A0"/>
    <w:rsid w:val="00826AE8"/>
    <w:rsid w:val="0082700A"/>
    <w:rsid w:val="00827685"/>
    <w:rsid w:val="008279EC"/>
    <w:rsid w:val="00827EAF"/>
    <w:rsid w:val="00830369"/>
    <w:rsid w:val="0083066F"/>
    <w:rsid w:val="008315F6"/>
    <w:rsid w:val="008317ED"/>
    <w:rsid w:val="00831C60"/>
    <w:rsid w:val="00831F0B"/>
    <w:rsid w:val="00832407"/>
    <w:rsid w:val="00833305"/>
    <w:rsid w:val="00833BD5"/>
    <w:rsid w:val="00833C23"/>
    <w:rsid w:val="00833FF7"/>
    <w:rsid w:val="008350F8"/>
    <w:rsid w:val="00835864"/>
    <w:rsid w:val="008360EC"/>
    <w:rsid w:val="00836DA5"/>
    <w:rsid w:val="0084080F"/>
    <w:rsid w:val="008409AB"/>
    <w:rsid w:val="00840DA9"/>
    <w:rsid w:val="008416D6"/>
    <w:rsid w:val="00842218"/>
    <w:rsid w:val="008437C5"/>
    <w:rsid w:val="008459F4"/>
    <w:rsid w:val="00847B03"/>
    <w:rsid w:val="0085065C"/>
    <w:rsid w:val="0085066F"/>
    <w:rsid w:val="00850AFB"/>
    <w:rsid w:val="00851144"/>
    <w:rsid w:val="008511DA"/>
    <w:rsid w:val="00851A73"/>
    <w:rsid w:val="0085270E"/>
    <w:rsid w:val="008527C3"/>
    <w:rsid w:val="00855280"/>
    <w:rsid w:val="008553AD"/>
    <w:rsid w:val="008562B2"/>
    <w:rsid w:val="008568F2"/>
    <w:rsid w:val="00856943"/>
    <w:rsid w:val="00856FB2"/>
    <w:rsid w:val="008572D6"/>
    <w:rsid w:val="00857720"/>
    <w:rsid w:val="00857AE3"/>
    <w:rsid w:val="00860000"/>
    <w:rsid w:val="0086023E"/>
    <w:rsid w:val="00860560"/>
    <w:rsid w:val="008605BA"/>
    <w:rsid w:val="008605F0"/>
    <w:rsid w:val="0086077C"/>
    <w:rsid w:val="00860854"/>
    <w:rsid w:val="00860ADF"/>
    <w:rsid w:val="008616EE"/>
    <w:rsid w:val="00861808"/>
    <w:rsid w:val="0086197B"/>
    <w:rsid w:val="00861F17"/>
    <w:rsid w:val="00862182"/>
    <w:rsid w:val="008622B4"/>
    <w:rsid w:val="00862441"/>
    <w:rsid w:val="0086289F"/>
    <w:rsid w:val="00863111"/>
    <w:rsid w:val="008632DC"/>
    <w:rsid w:val="00863B71"/>
    <w:rsid w:val="0086434B"/>
    <w:rsid w:val="008645D0"/>
    <w:rsid w:val="00865A63"/>
    <w:rsid w:val="008660D9"/>
    <w:rsid w:val="008662D1"/>
    <w:rsid w:val="00866689"/>
    <w:rsid w:val="00866F9A"/>
    <w:rsid w:val="008677B9"/>
    <w:rsid w:val="0087007B"/>
    <w:rsid w:val="00870309"/>
    <w:rsid w:val="00870E8C"/>
    <w:rsid w:val="008712A8"/>
    <w:rsid w:val="0087150A"/>
    <w:rsid w:val="00871967"/>
    <w:rsid w:val="00871CBF"/>
    <w:rsid w:val="00872269"/>
    <w:rsid w:val="008726A8"/>
    <w:rsid w:val="008731FC"/>
    <w:rsid w:val="00873478"/>
    <w:rsid w:val="00873656"/>
    <w:rsid w:val="00873E84"/>
    <w:rsid w:val="00873EDB"/>
    <w:rsid w:val="008747DD"/>
    <w:rsid w:val="00874CD2"/>
    <w:rsid w:val="00875176"/>
    <w:rsid w:val="00875691"/>
    <w:rsid w:val="00875A10"/>
    <w:rsid w:val="00875D0C"/>
    <w:rsid w:val="00875F4C"/>
    <w:rsid w:val="00876757"/>
    <w:rsid w:val="00877D53"/>
    <w:rsid w:val="00880060"/>
    <w:rsid w:val="0088038C"/>
    <w:rsid w:val="008803B1"/>
    <w:rsid w:val="008809CE"/>
    <w:rsid w:val="00880AB9"/>
    <w:rsid w:val="00880AC3"/>
    <w:rsid w:val="00880D8B"/>
    <w:rsid w:val="0088105D"/>
    <w:rsid w:val="00881D35"/>
    <w:rsid w:val="008820ED"/>
    <w:rsid w:val="00882C91"/>
    <w:rsid w:val="00883218"/>
    <w:rsid w:val="00884474"/>
    <w:rsid w:val="00885435"/>
    <w:rsid w:val="0088593D"/>
    <w:rsid w:val="0088599A"/>
    <w:rsid w:val="00885EE6"/>
    <w:rsid w:val="00886B6A"/>
    <w:rsid w:val="00886D73"/>
    <w:rsid w:val="00887211"/>
    <w:rsid w:val="00887437"/>
    <w:rsid w:val="0089068E"/>
    <w:rsid w:val="00890741"/>
    <w:rsid w:val="00890D42"/>
    <w:rsid w:val="0089320C"/>
    <w:rsid w:val="00894200"/>
    <w:rsid w:val="0089474A"/>
    <w:rsid w:val="00895619"/>
    <w:rsid w:val="008956F6"/>
    <w:rsid w:val="00896346"/>
    <w:rsid w:val="00896A31"/>
    <w:rsid w:val="00897C74"/>
    <w:rsid w:val="00897D03"/>
    <w:rsid w:val="008A01A1"/>
    <w:rsid w:val="008A1307"/>
    <w:rsid w:val="008A1385"/>
    <w:rsid w:val="008A2764"/>
    <w:rsid w:val="008A298B"/>
    <w:rsid w:val="008A33D6"/>
    <w:rsid w:val="008A4471"/>
    <w:rsid w:val="008A4BC7"/>
    <w:rsid w:val="008A541F"/>
    <w:rsid w:val="008A62DA"/>
    <w:rsid w:val="008A6CC2"/>
    <w:rsid w:val="008A6D67"/>
    <w:rsid w:val="008A6FE1"/>
    <w:rsid w:val="008A78D7"/>
    <w:rsid w:val="008B067C"/>
    <w:rsid w:val="008B0724"/>
    <w:rsid w:val="008B2EE6"/>
    <w:rsid w:val="008B4EB4"/>
    <w:rsid w:val="008B5449"/>
    <w:rsid w:val="008B5F17"/>
    <w:rsid w:val="008B70FB"/>
    <w:rsid w:val="008B7595"/>
    <w:rsid w:val="008B79D1"/>
    <w:rsid w:val="008B7E58"/>
    <w:rsid w:val="008C00AC"/>
    <w:rsid w:val="008C0126"/>
    <w:rsid w:val="008C047E"/>
    <w:rsid w:val="008C04DF"/>
    <w:rsid w:val="008C0CD2"/>
    <w:rsid w:val="008C104D"/>
    <w:rsid w:val="008C11F4"/>
    <w:rsid w:val="008C1653"/>
    <w:rsid w:val="008C19BE"/>
    <w:rsid w:val="008C3BAD"/>
    <w:rsid w:val="008C3D02"/>
    <w:rsid w:val="008C4625"/>
    <w:rsid w:val="008C47F0"/>
    <w:rsid w:val="008C4DF0"/>
    <w:rsid w:val="008C5035"/>
    <w:rsid w:val="008C55BB"/>
    <w:rsid w:val="008C5DFB"/>
    <w:rsid w:val="008C6D90"/>
    <w:rsid w:val="008C70BD"/>
    <w:rsid w:val="008C767B"/>
    <w:rsid w:val="008C7E7A"/>
    <w:rsid w:val="008C7F27"/>
    <w:rsid w:val="008D0055"/>
    <w:rsid w:val="008D1128"/>
    <w:rsid w:val="008D1450"/>
    <w:rsid w:val="008D1C62"/>
    <w:rsid w:val="008D1E45"/>
    <w:rsid w:val="008D2578"/>
    <w:rsid w:val="008D29EB"/>
    <w:rsid w:val="008D2A4B"/>
    <w:rsid w:val="008D4050"/>
    <w:rsid w:val="008D568C"/>
    <w:rsid w:val="008D5BDF"/>
    <w:rsid w:val="008D5D56"/>
    <w:rsid w:val="008D6346"/>
    <w:rsid w:val="008D76A7"/>
    <w:rsid w:val="008E08E4"/>
    <w:rsid w:val="008E0AA0"/>
    <w:rsid w:val="008E0F72"/>
    <w:rsid w:val="008E1444"/>
    <w:rsid w:val="008E1AC3"/>
    <w:rsid w:val="008E1FFC"/>
    <w:rsid w:val="008E2069"/>
    <w:rsid w:val="008E3617"/>
    <w:rsid w:val="008E39C5"/>
    <w:rsid w:val="008E3C18"/>
    <w:rsid w:val="008E3C28"/>
    <w:rsid w:val="008E3CDA"/>
    <w:rsid w:val="008E4A9D"/>
    <w:rsid w:val="008E4FA6"/>
    <w:rsid w:val="008E55E5"/>
    <w:rsid w:val="008E6814"/>
    <w:rsid w:val="008E6F5F"/>
    <w:rsid w:val="008E703C"/>
    <w:rsid w:val="008E74E6"/>
    <w:rsid w:val="008E75EE"/>
    <w:rsid w:val="008F0569"/>
    <w:rsid w:val="008F05DF"/>
    <w:rsid w:val="008F05EA"/>
    <w:rsid w:val="008F1D84"/>
    <w:rsid w:val="008F3449"/>
    <w:rsid w:val="008F35D8"/>
    <w:rsid w:val="008F3ADF"/>
    <w:rsid w:val="008F4299"/>
    <w:rsid w:val="008F525C"/>
    <w:rsid w:val="008F5905"/>
    <w:rsid w:val="008F5E55"/>
    <w:rsid w:val="008F6097"/>
    <w:rsid w:val="008F6653"/>
    <w:rsid w:val="008F6A79"/>
    <w:rsid w:val="008F7CCC"/>
    <w:rsid w:val="008F7DE7"/>
    <w:rsid w:val="00900AAD"/>
    <w:rsid w:val="0090152A"/>
    <w:rsid w:val="009018AA"/>
    <w:rsid w:val="00901CAD"/>
    <w:rsid w:val="0090227D"/>
    <w:rsid w:val="00902E2F"/>
    <w:rsid w:val="0090303F"/>
    <w:rsid w:val="0090362A"/>
    <w:rsid w:val="009042D8"/>
    <w:rsid w:val="00904D99"/>
    <w:rsid w:val="00904F86"/>
    <w:rsid w:val="009052B7"/>
    <w:rsid w:val="00905487"/>
    <w:rsid w:val="00906194"/>
    <w:rsid w:val="009061CC"/>
    <w:rsid w:val="00906EA7"/>
    <w:rsid w:val="0090707D"/>
    <w:rsid w:val="009074D6"/>
    <w:rsid w:val="009075E2"/>
    <w:rsid w:val="009079A7"/>
    <w:rsid w:val="00907DCF"/>
    <w:rsid w:val="0091010F"/>
    <w:rsid w:val="009101DF"/>
    <w:rsid w:val="009106D7"/>
    <w:rsid w:val="0091081C"/>
    <w:rsid w:val="00911597"/>
    <w:rsid w:val="00911940"/>
    <w:rsid w:val="00912982"/>
    <w:rsid w:val="00914785"/>
    <w:rsid w:val="00914ECE"/>
    <w:rsid w:val="00915106"/>
    <w:rsid w:val="009152DB"/>
    <w:rsid w:val="009159C0"/>
    <w:rsid w:val="00915BC7"/>
    <w:rsid w:val="00915DE5"/>
    <w:rsid w:val="00916295"/>
    <w:rsid w:val="00916615"/>
    <w:rsid w:val="00916B7B"/>
    <w:rsid w:val="00917074"/>
    <w:rsid w:val="00920EA0"/>
    <w:rsid w:val="009215BA"/>
    <w:rsid w:val="0092169E"/>
    <w:rsid w:val="00922657"/>
    <w:rsid w:val="00922865"/>
    <w:rsid w:val="00922CC1"/>
    <w:rsid w:val="00923524"/>
    <w:rsid w:val="00924A19"/>
    <w:rsid w:val="0092575F"/>
    <w:rsid w:val="00925C08"/>
    <w:rsid w:val="00926137"/>
    <w:rsid w:val="00926F0E"/>
    <w:rsid w:val="009270B5"/>
    <w:rsid w:val="009273DD"/>
    <w:rsid w:val="00927446"/>
    <w:rsid w:val="00927D21"/>
    <w:rsid w:val="00927D8F"/>
    <w:rsid w:val="00930924"/>
    <w:rsid w:val="00930D8D"/>
    <w:rsid w:val="009318C3"/>
    <w:rsid w:val="00931E78"/>
    <w:rsid w:val="00932299"/>
    <w:rsid w:val="009333D2"/>
    <w:rsid w:val="009340B3"/>
    <w:rsid w:val="009340E8"/>
    <w:rsid w:val="0093466C"/>
    <w:rsid w:val="00934893"/>
    <w:rsid w:val="00934E71"/>
    <w:rsid w:val="009368DA"/>
    <w:rsid w:val="00936C49"/>
    <w:rsid w:val="00936DB8"/>
    <w:rsid w:val="00937518"/>
    <w:rsid w:val="00937813"/>
    <w:rsid w:val="0094121A"/>
    <w:rsid w:val="00941B54"/>
    <w:rsid w:val="009423B7"/>
    <w:rsid w:val="00944DF6"/>
    <w:rsid w:val="00945FCF"/>
    <w:rsid w:val="00946EEB"/>
    <w:rsid w:val="009470F1"/>
    <w:rsid w:val="0094725C"/>
    <w:rsid w:val="0094789D"/>
    <w:rsid w:val="00947906"/>
    <w:rsid w:val="00947D3B"/>
    <w:rsid w:val="009501D6"/>
    <w:rsid w:val="00950394"/>
    <w:rsid w:val="0095082F"/>
    <w:rsid w:val="00951AE6"/>
    <w:rsid w:val="009529B3"/>
    <w:rsid w:val="00952EF6"/>
    <w:rsid w:val="00953887"/>
    <w:rsid w:val="00954AD2"/>
    <w:rsid w:val="00955C54"/>
    <w:rsid w:val="00956296"/>
    <w:rsid w:val="00957520"/>
    <w:rsid w:val="00957854"/>
    <w:rsid w:val="009579AC"/>
    <w:rsid w:val="0096018B"/>
    <w:rsid w:val="0096026B"/>
    <w:rsid w:val="00960795"/>
    <w:rsid w:val="00960BAF"/>
    <w:rsid w:val="00960E03"/>
    <w:rsid w:val="00961474"/>
    <w:rsid w:val="009616E2"/>
    <w:rsid w:val="00961EA9"/>
    <w:rsid w:val="009621DF"/>
    <w:rsid w:val="009622D9"/>
    <w:rsid w:val="009622FF"/>
    <w:rsid w:val="00962DC7"/>
    <w:rsid w:val="0096378F"/>
    <w:rsid w:val="00963A6B"/>
    <w:rsid w:val="00963A81"/>
    <w:rsid w:val="009640BD"/>
    <w:rsid w:val="0096429D"/>
    <w:rsid w:val="00964BA2"/>
    <w:rsid w:val="00964D1D"/>
    <w:rsid w:val="00964F5F"/>
    <w:rsid w:val="00964F8B"/>
    <w:rsid w:val="00965A71"/>
    <w:rsid w:val="00965A78"/>
    <w:rsid w:val="009668DF"/>
    <w:rsid w:val="009673A5"/>
    <w:rsid w:val="009673DE"/>
    <w:rsid w:val="009675CC"/>
    <w:rsid w:val="00967DA9"/>
    <w:rsid w:val="00967DC3"/>
    <w:rsid w:val="009701E7"/>
    <w:rsid w:val="009703A4"/>
    <w:rsid w:val="00970805"/>
    <w:rsid w:val="00971EAC"/>
    <w:rsid w:val="00971F9E"/>
    <w:rsid w:val="00972993"/>
    <w:rsid w:val="009729D8"/>
    <w:rsid w:val="0097362B"/>
    <w:rsid w:val="0097384A"/>
    <w:rsid w:val="00973A0C"/>
    <w:rsid w:val="00974430"/>
    <w:rsid w:val="00974801"/>
    <w:rsid w:val="00974ED9"/>
    <w:rsid w:val="009755A5"/>
    <w:rsid w:val="00975CAA"/>
    <w:rsid w:val="009762CF"/>
    <w:rsid w:val="0097671C"/>
    <w:rsid w:val="00976AD6"/>
    <w:rsid w:val="0097759B"/>
    <w:rsid w:val="009775BB"/>
    <w:rsid w:val="00977C5D"/>
    <w:rsid w:val="00977FAA"/>
    <w:rsid w:val="0098002A"/>
    <w:rsid w:val="00980959"/>
    <w:rsid w:val="00981F16"/>
    <w:rsid w:val="00982172"/>
    <w:rsid w:val="009827BE"/>
    <w:rsid w:val="00982FF8"/>
    <w:rsid w:val="009830FE"/>
    <w:rsid w:val="00983E93"/>
    <w:rsid w:val="00983ED4"/>
    <w:rsid w:val="00984045"/>
    <w:rsid w:val="009842DE"/>
    <w:rsid w:val="009858DF"/>
    <w:rsid w:val="0098594E"/>
    <w:rsid w:val="00985CDF"/>
    <w:rsid w:val="00985D1E"/>
    <w:rsid w:val="009863B6"/>
    <w:rsid w:val="00986A20"/>
    <w:rsid w:val="00986B28"/>
    <w:rsid w:val="00987111"/>
    <w:rsid w:val="00987804"/>
    <w:rsid w:val="00987CFE"/>
    <w:rsid w:val="00990321"/>
    <w:rsid w:val="009907F3"/>
    <w:rsid w:val="00991020"/>
    <w:rsid w:val="00991230"/>
    <w:rsid w:val="009916F1"/>
    <w:rsid w:val="009917F3"/>
    <w:rsid w:val="00991E37"/>
    <w:rsid w:val="00991FD5"/>
    <w:rsid w:val="009920A2"/>
    <w:rsid w:val="00992179"/>
    <w:rsid w:val="00992918"/>
    <w:rsid w:val="0099373B"/>
    <w:rsid w:val="0099386C"/>
    <w:rsid w:val="009939F7"/>
    <w:rsid w:val="00993F59"/>
    <w:rsid w:val="00993FC2"/>
    <w:rsid w:val="00994125"/>
    <w:rsid w:val="00994176"/>
    <w:rsid w:val="00994471"/>
    <w:rsid w:val="0099518C"/>
    <w:rsid w:val="00995687"/>
    <w:rsid w:val="00995C9D"/>
    <w:rsid w:val="00996E53"/>
    <w:rsid w:val="009A0E81"/>
    <w:rsid w:val="009A11C9"/>
    <w:rsid w:val="009A1719"/>
    <w:rsid w:val="009A183C"/>
    <w:rsid w:val="009A1BBE"/>
    <w:rsid w:val="009A1F56"/>
    <w:rsid w:val="009A2352"/>
    <w:rsid w:val="009A36E0"/>
    <w:rsid w:val="009A4301"/>
    <w:rsid w:val="009A4770"/>
    <w:rsid w:val="009A4947"/>
    <w:rsid w:val="009A60F0"/>
    <w:rsid w:val="009A6CBC"/>
    <w:rsid w:val="009A6FF9"/>
    <w:rsid w:val="009A7042"/>
    <w:rsid w:val="009A72B9"/>
    <w:rsid w:val="009A77C5"/>
    <w:rsid w:val="009A7A4C"/>
    <w:rsid w:val="009B0045"/>
    <w:rsid w:val="009B0651"/>
    <w:rsid w:val="009B0D81"/>
    <w:rsid w:val="009B1415"/>
    <w:rsid w:val="009B1847"/>
    <w:rsid w:val="009B2055"/>
    <w:rsid w:val="009B2AEB"/>
    <w:rsid w:val="009B346B"/>
    <w:rsid w:val="009B3709"/>
    <w:rsid w:val="009B49E6"/>
    <w:rsid w:val="009B566C"/>
    <w:rsid w:val="009B5774"/>
    <w:rsid w:val="009B5C85"/>
    <w:rsid w:val="009B5F46"/>
    <w:rsid w:val="009B6389"/>
    <w:rsid w:val="009B732A"/>
    <w:rsid w:val="009B7DFD"/>
    <w:rsid w:val="009C047F"/>
    <w:rsid w:val="009C28AF"/>
    <w:rsid w:val="009C2CC4"/>
    <w:rsid w:val="009C2DB6"/>
    <w:rsid w:val="009C33EA"/>
    <w:rsid w:val="009C384E"/>
    <w:rsid w:val="009C3920"/>
    <w:rsid w:val="009C3B80"/>
    <w:rsid w:val="009C422D"/>
    <w:rsid w:val="009C4A3A"/>
    <w:rsid w:val="009C5700"/>
    <w:rsid w:val="009C5F95"/>
    <w:rsid w:val="009C600F"/>
    <w:rsid w:val="009C7503"/>
    <w:rsid w:val="009D0C9F"/>
    <w:rsid w:val="009D2382"/>
    <w:rsid w:val="009D28EC"/>
    <w:rsid w:val="009D2913"/>
    <w:rsid w:val="009D36BD"/>
    <w:rsid w:val="009D3BDD"/>
    <w:rsid w:val="009D4428"/>
    <w:rsid w:val="009D467B"/>
    <w:rsid w:val="009D47AB"/>
    <w:rsid w:val="009D4D0E"/>
    <w:rsid w:val="009D5D2C"/>
    <w:rsid w:val="009D60C7"/>
    <w:rsid w:val="009D6374"/>
    <w:rsid w:val="009D65E3"/>
    <w:rsid w:val="009D7489"/>
    <w:rsid w:val="009D7496"/>
    <w:rsid w:val="009E0009"/>
    <w:rsid w:val="009E009E"/>
    <w:rsid w:val="009E1016"/>
    <w:rsid w:val="009E2351"/>
    <w:rsid w:val="009E2E06"/>
    <w:rsid w:val="009E40CE"/>
    <w:rsid w:val="009E47A5"/>
    <w:rsid w:val="009E4A81"/>
    <w:rsid w:val="009E4AA1"/>
    <w:rsid w:val="009E4C1F"/>
    <w:rsid w:val="009E56A8"/>
    <w:rsid w:val="009E5700"/>
    <w:rsid w:val="009E59BE"/>
    <w:rsid w:val="009E5EE6"/>
    <w:rsid w:val="009E6707"/>
    <w:rsid w:val="009E77D5"/>
    <w:rsid w:val="009E7EC3"/>
    <w:rsid w:val="009F0549"/>
    <w:rsid w:val="009F095C"/>
    <w:rsid w:val="009F0FED"/>
    <w:rsid w:val="009F2EED"/>
    <w:rsid w:val="009F3297"/>
    <w:rsid w:val="009F359F"/>
    <w:rsid w:val="009F3AF2"/>
    <w:rsid w:val="009F413D"/>
    <w:rsid w:val="009F44A0"/>
    <w:rsid w:val="009F4778"/>
    <w:rsid w:val="009F4CA5"/>
    <w:rsid w:val="009F670C"/>
    <w:rsid w:val="009F69BB"/>
    <w:rsid w:val="009F6BB0"/>
    <w:rsid w:val="009F6D39"/>
    <w:rsid w:val="009F6F78"/>
    <w:rsid w:val="009F723A"/>
    <w:rsid w:val="009F76DA"/>
    <w:rsid w:val="009F7721"/>
    <w:rsid w:val="009F7B3F"/>
    <w:rsid w:val="009F7C40"/>
    <w:rsid w:val="009F7DDE"/>
    <w:rsid w:val="00A00118"/>
    <w:rsid w:val="00A009BB"/>
    <w:rsid w:val="00A00C24"/>
    <w:rsid w:val="00A00CE4"/>
    <w:rsid w:val="00A00E07"/>
    <w:rsid w:val="00A010B2"/>
    <w:rsid w:val="00A01369"/>
    <w:rsid w:val="00A01992"/>
    <w:rsid w:val="00A01B8B"/>
    <w:rsid w:val="00A03A41"/>
    <w:rsid w:val="00A03EB3"/>
    <w:rsid w:val="00A03FD3"/>
    <w:rsid w:val="00A0581A"/>
    <w:rsid w:val="00A05B3D"/>
    <w:rsid w:val="00A063E3"/>
    <w:rsid w:val="00A06D46"/>
    <w:rsid w:val="00A06EAA"/>
    <w:rsid w:val="00A07A92"/>
    <w:rsid w:val="00A07C33"/>
    <w:rsid w:val="00A108E3"/>
    <w:rsid w:val="00A10A67"/>
    <w:rsid w:val="00A115A6"/>
    <w:rsid w:val="00A1188A"/>
    <w:rsid w:val="00A11989"/>
    <w:rsid w:val="00A123F4"/>
    <w:rsid w:val="00A13219"/>
    <w:rsid w:val="00A136BB"/>
    <w:rsid w:val="00A1375F"/>
    <w:rsid w:val="00A13D81"/>
    <w:rsid w:val="00A13F20"/>
    <w:rsid w:val="00A1463E"/>
    <w:rsid w:val="00A15045"/>
    <w:rsid w:val="00A158FF"/>
    <w:rsid w:val="00A16878"/>
    <w:rsid w:val="00A203AF"/>
    <w:rsid w:val="00A2081D"/>
    <w:rsid w:val="00A2160C"/>
    <w:rsid w:val="00A21672"/>
    <w:rsid w:val="00A21881"/>
    <w:rsid w:val="00A21CA6"/>
    <w:rsid w:val="00A24212"/>
    <w:rsid w:val="00A24596"/>
    <w:rsid w:val="00A24A33"/>
    <w:rsid w:val="00A24E3E"/>
    <w:rsid w:val="00A253C2"/>
    <w:rsid w:val="00A257BB"/>
    <w:rsid w:val="00A2595B"/>
    <w:rsid w:val="00A26ED6"/>
    <w:rsid w:val="00A27134"/>
    <w:rsid w:val="00A27424"/>
    <w:rsid w:val="00A2747C"/>
    <w:rsid w:val="00A27B8D"/>
    <w:rsid w:val="00A301C9"/>
    <w:rsid w:val="00A30AAA"/>
    <w:rsid w:val="00A30D7C"/>
    <w:rsid w:val="00A30D8E"/>
    <w:rsid w:val="00A30DB6"/>
    <w:rsid w:val="00A3149A"/>
    <w:rsid w:val="00A31671"/>
    <w:rsid w:val="00A31E01"/>
    <w:rsid w:val="00A320E5"/>
    <w:rsid w:val="00A322F8"/>
    <w:rsid w:val="00A333CB"/>
    <w:rsid w:val="00A33EC7"/>
    <w:rsid w:val="00A344FA"/>
    <w:rsid w:val="00A349A5"/>
    <w:rsid w:val="00A34DCD"/>
    <w:rsid w:val="00A35237"/>
    <w:rsid w:val="00A35865"/>
    <w:rsid w:val="00A35F89"/>
    <w:rsid w:val="00A36284"/>
    <w:rsid w:val="00A36514"/>
    <w:rsid w:val="00A365DE"/>
    <w:rsid w:val="00A36C02"/>
    <w:rsid w:val="00A379B7"/>
    <w:rsid w:val="00A37B4C"/>
    <w:rsid w:val="00A40E98"/>
    <w:rsid w:val="00A40F64"/>
    <w:rsid w:val="00A40F75"/>
    <w:rsid w:val="00A4127C"/>
    <w:rsid w:val="00A41572"/>
    <w:rsid w:val="00A429CD"/>
    <w:rsid w:val="00A42A8E"/>
    <w:rsid w:val="00A42B6A"/>
    <w:rsid w:val="00A4542A"/>
    <w:rsid w:val="00A45FE6"/>
    <w:rsid w:val="00A46102"/>
    <w:rsid w:val="00A46975"/>
    <w:rsid w:val="00A46F54"/>
    <w:rsid w:val="00A47B8E"/>
    <w:rsid w:val="00A47D17"/>
    <w:rsid w:val="00A50EBE"/>
    <w:rsid w:val="00A51BBD"/>
    <w:rsid w:val="00A5239D"/>
    <w:rsid w:val="00A5257C"/>
    <w:rsid w:val="00A53074"/>
    <w:rsid w:val="00A53324"/>
    <w:rsid w:val="00A533E9"/>
    <w:rsid w:val="00A5350C"/>
    <w:rsid w:val="00A5354C"/>
    <w:rsid w:val="00A5445C"/>
    <w:rsid w:val="00A55190"/>
    <w:rsid w:val="00A55A31"/>
    <w:rsid w:val="00A56CF8"/>
    <w:rsid w:val="00A572E1"/>
    <w:rsid w:val="00A601D8"/>
    <w:rsid w:val="00A603B2"/>
    <w:rsid w:val="00A6081C"/>
    <w:rsid w:val="00A6125B"/>
    <w:rsid w:val="00A61571"/>
    <w:rsid w:val="00A61C32"/>
    <w:rsid w:val="00A61C96"/>
    <w:rsid w:val="00A62AC4"/>
    <w:rsid w:val="00A62C38"/>
    <w:rsid w:val="00A62D8E"/>
    <w:rsid w:val="00A6352D"/>
    <w:rsid w:val="00A636AD"/>
    <w:rsid w:val="00A64079"/>
    <w:rsid w:val="00A64DB2"/>
    <w:rsid w:val="00A64EBF"/>
    <w:rsid w:val="00A655B7"/>
    <w:rsid w:val="00A658C3"/>
    <w:rsid w:val="00A65B04"/>
    <w:rsid w:val="00A67983"/>
    <w:rsid w:val="00A67A4A"/>
    <w:rsid w:val="00A701B3"/>
    <w:rsid w:val="00A70EB6"/>
    <w:rsid w:val="00A71725"/>
    <w:rsid w:val="00A71C7A"/>
    <w:rsid w:val="00A72A4F"/>
    <w:rsid w:val="00A72EA9"/>
    <w:rsid w:val="00A7305F"/>
    <w:rsid w:val="00A73C33"/>
    <w:rsid w:val="00A745FE"/>
    <w:rsid w:val="00A749DF"/>
    <w:rsid w:val="00A754C3"/>
    <w:rsid w:val="00A75BFE"/>
    <w:rsid w:val="00A769A6"/>
    <w:rsid w:val="00A76BA1"/>
    <w:rsid w:val="00A77197"/>
    <w:rsid w:val="00A77850"/>
    <w:rsid w:val="00A77E02"/>
    <w:rsid w:val="00A77F58"/>
    <w:rsid w:val="00A800AD"/>
    <w:rsid w:val="00A80D86"/>
    <w:rsid w:val="00A811BA"/>
    <w:rsid w:val="00A81351"/>
    <w:rsid w:val="00A81AC0"/>
    <w:rsid w:val="00A833A8"/>
    <w:rsid w:val="00A8366E"/>
    <w:rsid w:val="00A83901"/>
    <w:rsid w:val="00A8433F"/>
    <w:rsid w:val="00A843EC"/>
    <w:rsid w:val="00A8547A"/>
    <w:rsid w:val="00A85662"/>
    <w:rsid w:val="00A85CA4"/>
    <w:rsid w:val="00A85F1A"/>
    <w:rsid w:val="00A861BD"/>
    <w:rsid w:val="00A869A5"/>
    <w:rsid w:val="00A87321"/>
    <w:rsid w:val="00A876CA"/>
    <w:rsid w:val="00A87D21"/>
    <w:rsid w:val="00A91DBE"/>
    <w:rsid w:val="00A91DCA"/>
    <w:rsid w:val="00A92690"/>
    <w:rsid w:val="00A9288F"/>
    <w:rsid w:val="00A94CDB"/>
    <w:rsid w:val="00A94D7B"/>
    <w:rsid w:val="00A94E72"/>
    <w:rsid w:val="00A9500B"/>
    <w:rsid w:val="00A9516D"/>
    <w:rsid w:val="00A9528F"/>
    <w:rsid w:val="00A9624E"/>
    <w:rsid w:val="00A96B2F"/>
    <w:rsid w:val="00A97AC4"/>
    <w:rsid w:val="00A97DC1"/>
    <w:rsid w:val="00AA0375"/>
    <w:rsid w:val="00AA1562"/>
    <w:rsid w:val="00AA1584"/>
    <w:rsid w:val="00AA239D"/>
    <w:rsid w:val="00AA2F51"/>
    <w:rsid w:val="00AA39CF"/>
    <w:rsid w:val="00AA3D5F"/>
    <w:rsid w:val="00AA3FD8"/>
    <w:rsid w:val="00AA56C9"/>
    <w:rsid w:val="00AA5A44"/>
    <w:rsid w:val="00AA5EEA"/>
    <w:rsid w:val="00AA69DF"/>
    <w:rsid w:val="00AA6CD1"/>
    <w:rsid w:val="00AA74D3"/>
    <w:rsid w:val="00AA7B34"/>
    <w:rsid w:val="00AB0A35"/>
    <w:rsid w:val="00AB0AB5"/>
    <w:rsid w:val="00AB0B3D"/>
    <w:rsid w:val="00AB1512"/>
    <w:rsid w:val="00AB1E16"/>
    <w:rsid w:val="00AB1F87"/>
    <w:rsid w:val="00AB205D"/>
    <w:rsid w:val="00AB22DD"/>
    <w:rsid w:val="00AB247F"/>
    <w:rsid w:val="00AB2B0C"/>
    <w:rsid w:val="00AB2BBC"/>
    <w:rsid w:val="00AB2EBC"/>
    <w:rsid w:val="00AB387E"/>
    <w:rsid w:val="00AB3A57"/>
    <w:rsid w:val="00AB4104"/>
    <w:rsid w:val="00AB41D4"/>
    <w:rsid w:val="00AB421A"/>
    <w:rsid w:val="00AB4239"/>
    <w:rsid w:val="00AB4683"/>
    <w:rsid w:val="00AB4D3B"/>
    <w:rsid w:val="00AB5145"/>
    <w:rsid w:val="00AB57F7"/>
    <w:rsid w:val="00AB5821"/>
    <w:rsid w:val="00AB5882"/>
    <w:rsid w:val="00AB58BF"/>
    <w:rsid w:val="00AB5B80"/>
    <w:rsid w:val="00AB5D66"/>
    <w:rsid w:val="00AB5DC6"/>
    <w:rsid w:val="00AB5EFE"/>
    <w:rsid w:val="00AB649F"/>
    <w:rsid w:val="00AB7C24"/>
    <w:rsid w:val="00AB7D48"/>
    <w:rsid w:val="00AB7EC1"/>
    <w:rsid w:val="00AC0259"/>
    <w:rsid w:val="00AC0885"/>
    <w:rsid w:val="00AC0D2C"/>
    <w:rsid w:val="00AC2CE7"/>
    <w:rsid w:val="00AC2EDC"/>
    <w:rsid w:val="00AC3F30"/>
    <w:rsid w:val="00AC3FC4"/>
    <w:rsid w:val="00AC4611"/>
    <w:rsid w:val="00AC4F7A"/>
    <w:rsid w:val="00AC5CE6"/>
    <w:rsid w:val="00AC6110"/>
    <w:rsid w:val="00AC61D8"/>
    <w:rsid w:val="00AC641E"/>
    <w:rsid w:val="00AD14C7"/>
    <w:rsid w:val="00AD1983"/>
    <w:rsid w:val="00AD24B1"/>
    <w:rsid w:val="00AD27E2"/>
    <w:rsid w:val="00AD2865"/>
    <w:rsid w:val="00AD2A1D"/>
    <w:rsid w:val="00AD2F17"/>
    <w:rsid w:val="00AD3598"/>
    <w:rsid w:val="00AD4683"/>
    <w:rsid w:val="00AD4769"/>
    <w:rsid w:val="00AD4AD3"/>
    <w:rsid w:val="00AD4DF0"/>
    <w:rsid w:val="00AD4F47"/>
    <w:rsid w:val="00AD50E8"/>
    <w:rsid w:val="00AD529B"/>
    <w:rsid w:val="00AD543B"/>
    <w:rsid w:val="00AD569D"/>
    <w:rsid w:val="00AD570E"/>
    <w:rsid w:val="00AD65D2"/>
    <w:rsid w:val="00AD6A24"/>
    <w:rsid w:val="00AD7A93"/>
    <w:rsid w:val="00AE072F"/>
    <w:rsid w:val="00AE0A35"/>
    <w:rsid w:val="00AE0A98"/>
    <w:rsid w:val="00AE0DCE"/>
    <w:rsid w:val="00AE1E32"/>
    <w:rsid w:val="00AE1EFE"/>
    <w:rsid w:val="00AE23DA"/>
    <w:rsid w:val="00AE30D0"/>
    <w:rsid w:val="00AE3476"/>
    <w:rsid w:val="00AE3991"/>
    <w:rsid w:val="00AE3A5F"/>
    <w:rsid w:val="00AE3DB1"/>
    <w:rsid w:val="00AE40B2"/>
    <w:rsid w:val="00AE438B"/>
    <w:rsid w:val="00AE4A9E"/>
    <w:rsid w:val="00AE4D30"/>
    <w:rsid w:val="00AE7569"/>
    <w:rsid w:val="00AE769C"/>
    <w:rsid w:val="00AE7769"/>
    <w:rsid w:val="00AF03A0"/>
    <w:rsid w:val="00AF0BCE"/>
    <w:rsid w:val="00AF2449"/>
    <w:rsid w:val="00AF2BA4"/>
    <w:rsid w:val="00AF3DA5"/>
    <w:rsid w:val="00AF3FAB"/>
    <w:rsid w:val="00AF41F7"/>
    <w:rsid w:val="00AF48FB"/>
    <w:rsid w:val="00AF5A9E"/>
    <w:rsid w:val="00AF5E45"/>
    <w:rsid w:val="00AF677A"/>
    <w:rsid w:val="00AF6803"/>
    <w:rsid w:val="00AF7911"/>
    <w:rsid w:val="00AF7CAF"/>
    <w:rsid w:val="00B00864"/>
    <w:rsid w:val="00B00B73"/>
    <w:rsid w:val="00B011BB"/>
    <w:rsid w:val="00B02014"/>
    <w:rsid w:val="00B0201E"/>
    <w:rsid w:val="00B02086"/>
    <w:rsid w:val="00B02B65"/>
    <w:rsid w:val="00B031F3"/>
    <w:rsid w:val="00B033F5"/>
    <w:rsid w:val="00B04944"/>
    <w:rsid w:val="00B04E60"/>
    <w:rsid w:val="00B05497"/>
    <w:rsid w:val="00B054B2"/>
    <w:rsid w:val="00B07939"/>
    <w:rsid w:val="00B07D11"/>
    <w:rsid w:val="00B07E48"/>
    <w:rsid w:val="00B07F4D"/>
    <w:rsid w:val="00B10424"/>
    <w:rsid w:val="00B10D08"/>
    <w:rsid w:val="00B110B0"/>
    <w:rsid w:val="00B110C4"/>
    <w:rsid w:val="00B114C7"/>
    <w:rsid w:val="00B11ACD"/>
    <w:rsid w:val="00B13216"/>
    <w:rsid w:val="00B13827"/>
    <w:rsid w:val="00B13B24"/>
    <w:rsid w:val="00B145A7"/>
    <w:rsid w:val="00B145BA"/>
    <w:rsid w:val="00B14910"/>
    <w:rsid w:val="00B14C25"/>
    <w:rsid w:val="00B15048"/>
    <w:rsid w:val="00B15DEE"/>
    <w:rsid w:val="00B15E95"/>
    <w:rsid w:val="00B164C4"/>
    <w:rsid w:val="00B16777"/>
    <w:rsid w:val="00B17DC5"/>
    <w:rsid w:val="00B20BD4"/>
    <w:rsid w:val="00B20F53"/>
    <w:rsid w:val="00B2150C"/>
    <w:rsid w:val="00B21CFC"/>
    <w:rsid w:val="00B22DCB"/>
    <w:rsid w:val="00B231C2"/>
    <w:rsid w:val="00B235B6"/>
    <w:rsid w:val="00B25986"/>
    <w:rsid w:val="00B25B76"/>
    <w:rsid w:val="00B26C8A"/>
    <w:rsid w:val="00B27295"/>
    <w:rsid w:val="00B30194"/>
    <w:rsid w:val="00B30709"/>
    <w:rsid w:val="00B30BA4"/>
    <w:rsid w:val="00B30CC1"/>
    <w:rsid w:val="00B30E9E"/>
    <w:rsid w:val="00B310C4"/>
    <w:rsid w:val="00B31208"/>
    <w:rsid w:val="00B31431"/>
    <w:rsid w:val="00B31666"/>
    <w:rsid w:val="00B31C69"/>
    <w:rsid w:val="00B31D94"/>
    <w:rsid w:val="00B32364"/>
    <w:rsid w:val="00B32F08"/>
    <w:rsid w:val="00B3369D"/>
    <w:rsid w:val="00B342D3"/>
    <w:rsid w:val="00B3435B"/>
    <w:rsid w:val="00B34F59"/>
    <w:rsid w:val="00B359BD"/>
    <w:rsid w:val="00B35E54"/>
    <w:rsid w:val="00B360A9"/>
    <w:rsid w:val="00B3670E"/>
    <w:rsid w:val="00B37060"/>
    <w:rsid w:val="00B406BC"/>
    <w:rsid w:val="00B41702"/>
    <w:rsid w:val="00B41981"/>
    <w:rsid w:val="00B420BF"/>
    <w:rsid w:val="00B42121"/>
    <w:rsid w:val="00B42A3E"/>
    <w:rsid w:val="00B431F9"/>
    <w:rsid w:val="00B4377A"/>
    <w:rsid w:val="00B43BB1"/>
    <w:rsid w:val="00B43DD0"/>
    <w:rsid w:val="00B43FFA"/>
    <w:rsid w:val="00B44403"/>
    <w:rsid w:val="00B44AC7"/>
    <w:rsid w:val="00B45CFB"/>
    <w:rsid w:val="00B45FD0"/>
    <w:rsid w:val="00B469A2"/>
    <w:rsid w:val="00B47566"/>
    <w:rsid w:val="00B47B2D"/>
    <w:rsid w:val="00B508CF"/>
    <w:rsid w:val="00B5159A"/>
    <w:rsid w:val="00B519A7"/>
    <w:rsid w:val="00B526E3"/>
    <w:rsid w:val="00B5309D"/>
    <w:rsid w:val="00B53AAF"/>
    <w:rsid w:val="00B55151"/>
    <w:rsid w:val="00B55DE7"/>
    <w:rsid w:val="00B56688"/>
    <w:rsid w:val="00B566D1"/>
    <w:rsid w:val="00B56782"/>
    <w:rsid w:val="00B56787"/>
    <w:rsid w:val="00B56894"/>
    <w:rsid w:val="00B57665"/>
    <w:rsid w:val="00B57E38"/>
    <w:rsid w:val="00B60364"/>
    <w:rsid w:val="00B60A20"/>
    <w:rsid w:val="00B60DB5"/>
    <w:rsid w:val="00B61051"/>
    <w:rsid w:val="00B612A4"/>
    <w:rsid w:val="00B623E7"/>
    <w:rsid w:val="00B62465"/>
    <w:rsid w:val="00B62C21"/>
    <w:rsid w:val="00B64902"/>
    <w:rsid w:val="00B64934"/>
    <w:rsid w:val="00B651B8"/>
    <w:rsid w:val="00B65679"/>
    <w:rsid w:val="00B65CB6"/>
    <w:rsid w:val="00B65F8C"/>
    <w:rsid w:val="00B660E3"/>
    <w:rsid w:val="00B66617"/>
    <w:rsid w:val="00B66697"/>
    <w:rsid w:val="00B6679A"/>
    <w:rsid w:val="00B66D67"/>
    <w:rsid w:val="00B6767F"/>
    <w:rsid w:val="00B676AA"/>
    <w:rsid w:val="00B70CB2"/>
    <w:rsid w:val="00B71744"/>
    <w:rsid w:val="00B71A20"/>
    <w:rsid w:val="00B723FB"/>
    <w:rsid w:val="00B72F19"/>
    <w:rsid w:val="00B7301E"/>
    <w:rsid w:val="00B7399E"/>
    <w:rsid w:val="00B73B3B"/>
    <w:rsid w:val="00B73FBF"/>
    <w:rsid w:val="00B74E88"/>
    <w:rsid w:val="00B74F79"/>
    <w:rsid w:val="00B754D3"/>
    <w:rsid w:val="00B75C5B"/>
    <w:rsid w:val="00B75E6F"/>
    <w:rsid w:val="00B7632A"/>
    <w:rsid w:val="00B7666E"/>
    <w:rsid w:val="00B76D73"/>
    <w:rsid w:val="00B770D7"/>
    <w:rsid w:val="00B7760A"/>
    <w:rsid w:val="00B7796D"/>
    <w:rsid w:val="00B77EA8"/>
    <w:rsid w:val="00B80377"/>
    <w:rsid w:val="00B80BDC"/>
    <w:rsid w:val="00B81D60"/>
    <w:rsid w:val="00B83A88"/>
    <w:rsid w:val="00B83DAA"/>
    <w:rsid w:val="00B83ED9"/>
    <w:rsid w:val="00B849F3"/>
    <w:rsid w:val="00B85116"/>
    <w:rsid w:val="00B85264"/>
    <w:rsid w:val="00B856B9"/>
    <w:rsid w:val="00B85E69"/>
    <w:rsid w:val="00B8657C"/>
    <w:rsid w:val="00B868DC"/>
    <w:rsid w:val="00B86A86"/>
    <w:rsid w:val="00B86DA2"/>
    <w:rsid w:val="00B86E46"/>
    <w:rsid w:val="00B86EAD"/>
    <w:rsid w:val="00B9031E"/>
    <w:rsid w:val="00B9054D"/>
    <w:rsid w:val="00B90B62"/>
    <w:rsid w:val="00B91563"/>
    <w:rsid w:val="00B915CB"/>
    <w:rsid w:val="00B91845"/>
    <w:rsid w:val="00B91B5F"/>
    <w:rsid w:val="00B91C56"/>
    <w:rsid w:val="00B91F74"/>
    <w:rsid w:val="00B920DF"/>
    <w:rsid w:val="00B921CD"/>
    <w:rsid w:val="00B9226A"/>
    <w:rsid w:val="00B928C0"/>
    <w:rsid w:val="00B93398"/>
    <w:rsid w:val="00B9393D"/>
    <w:rsid w:val="00B93A60"/>
    <w:rsid w:val="00B947C2"/>
    <w:rsid w:val="00B948EC"/>
    <w:rsid w:val="00B9571E"/>
    <w:rsid w:val="00B95A32"/>
    <w:rsid w:val="00B95E44"/>
    <w:rsid w:val="00B95F38"/>
    <w:rsid w:val="00B96351"/>
    <w:rsid w:val="00B963E1"/>
    <w:rsid w:val="00B9669C"/>
    <w:rsid w:val="00B966A4"/>
    <w:rsid w:val="00B96723"/>
    <w:rsid w:val="00B969B8"/>
    <w:rsid w:val="00B9708E"/>
    <w:rsid w:val="00B97874"/>
    <w:rsid w:val="00B97C43"/>
    <w:rsid w:val="00B97DCA"/>
    <w:rsid w:val="00BA022A"/>
    <w:rsid w:val="00BA02EA"/>
    <w:rsid w:val="00BA06B8"/>
    <w:rsid w:val="00BA136D"/>
    <w:rsid w:val="00BA1E97"/>
    <w:rsid w:val="00BA205C"/>
    <w:rsid w:val="00BA24F3"/>
    <w:rsid w:val="00BA2B57"/>
    <w:rsid w:val="00BA3AEC"/>
    <w:rsid w:val="00BA3B7F"/>
    <w:rsid w:val="00BA3F84"/>
    <w:rsid w:val="00BA4AC2"/>
    <w:rsid w:val="00BA4B8A"/>
    <w:rsid w:val="00BA7B90"/>
    <w:rsid w:val="00BA7E44"/>
    <w:rsid w:val="00BB093B"/>
    <w:rsid w:val="00BB09BB"/>
    <w:rsid w:val="00BB09F3"/>
    <w:rsid w:val="00BB0A4B"/>
    <w:rsid w:val="00BB0C31"/>
    <w:rsid w:val="00BB1873"/>
    <w:rsid w:val="00BB2164"/>
    <w:rsid w:val="00BB241E"/>
    <w:rsid w:val="00BB2428"/>
    <w:rsid w:val="00BB267E"/>
    <w:rsid w:val="00BB2ADD"/>
    <w:rsid w:val="00BB2D28"/>
    <w:rsid w:val="00BB2F35"/>
    <w:rsid w:val="00BB3023"/>
    <w:rsid w:val="00BB3205"/>
    <w:rsid w:val="00BB33AF"/>
    <w:rsid w:val="00BB3871"/>
    <w:rsid w:val="00BB3AB2"/>
    <w:rsid w:val="00BB3CCB"/>
    <w:rsid w:val="00BB3D3F"/>
    <w:rsid w:val="00BB5617"/>
    <w:rsid w:val="00BB57B4"/>
    <w:rsid w:val="00BB5B22"/>
    <w:rsid w:val="00BB7527"/>
    <w:rsid w:val="00BB7807"/>
    <w:rsid w:val="00BB7A00"/>
    <w:rsid w:val="00BB7B99"/>
    <w:rsid w:val="00BC039C"/>
    <w:rsid w:val="00BC0E95"/>
    <w:rsid w:val="00BC1A37"/>
    <w:rsid w:val="00BC1F89"/>
    <w:rsid w:val="00BC264E"/>
    <w:rsid w:val="00BC2C0E"/>
    <w:rsid w:val="00BC3037"/>
    <w:rsid w:val="00BC3A41"/>
    <w:rsid w:val="00BC3EE7"/>
    <w:rsid w:val="00BC456C"/>
    <w:rsid w:val="00BC45EF"/>
    <w:rsid w:val="00BC4DE2"/>
    <w:rsid w:val="00BC4F91"/>
    <w:rsid w:val="00BC5042"/>
    <w:rsid w:val="00BC70AA"/>
    <w:rsid w:val="00BC7428"/>
    <w:rsid w:val="00BC77F4"/>
    <w:rsid w:val="00BC7A78"/>
    <w:rsid w:val="00BC7AD9"/>
    <w:rsid w:val="00BC7B84"/>
    <w:rsid w:val="00BD01B0"/>
    <w:rsid w:val="00BD0347"/>
    <w:rsid w:val="00BD0CA1"/>
    <w:rsid w:val="00BD11D4"/>
    <w:rsid w:val="00BD13D8"/>
    <w:rsid w:val="00BD15ED"/>
    <w:rsid w:val="00BD1CF5"/>
    <w:rsid w:val="00BD2CD3"/>
    <w:rsid w:val="00BD3730"/>
    <w:rsid w:val="00BD3F86"/>
    <w:rsid w:val="00BD451F"/>
    <w:rsid w:val="00BD4776"/>
    <w:rsid w:val="00BD487D"/>
    <w:rsid w:val="00BD4BBC"/>
    <w:rsid w:val="00BD4E9D"/>
    <w:rsid w:val="00BD4F0E"/>
    <w:rsid w:val="00BD554D"/>
    <w:rsid w:val="00BD586D"/>
    <w:rsid w:val="00BD5A01"/>
    <w:rsid w:val="00BD5C4C"/>
    <w:rsid w:val="00BD5D34"/>
    <w:rsid w:val="00BD645E"/>
    <w:rsid w:val="00BD671C"/>
    <w:rsid w:val="00BD74BA"/>
    <w:rsid w:val="00BD77D8"/>
    <w:rsid w:val="00BE00CD"/>
    <w:rsid w:val="00BE03BA"/>
    <w:rsid w:val="00BE0675"/>
    <w:rsid w:val="00BE0A21"/>
    <w:rsid w:val="00BE0B8E"/>
    <w:rsid w:val="00BE0F17"/>
    <w:rsid w:val="00BE1758"/>
    <w:rsid w:val="00BE2C20"/>
    <w:rsid w:val="00BE2D34"/>
    <w:rsid w:val="00BE2F30"/>
    <w:rsid w:val="00BE308E"/>
    <w:rsid w:val="00BE3362"/>
    <w:rsid w:val="00BE387F"/>
    <w:rsid w:val="00BE3E4E"/>
    <w:rsid w:val="00BE42FE"/>
    <w:rsid w:val="00BE4A41"/>
    <w:rsid w:val="00BE5D18"/>
    <w:rsid w:val="00BE5E1C"/>
    <w:rsid w:val="00BE7F49"/>
    <w:rsid w:val="00BF0677"/>
    <w:rsid w:val="00BF21E4"/>
    <w:rsid w:val="00BF31F6"/>
    <w:rsid w:val="00BF3C89"/>
    <w:rsid w:val="00BF422F"/>
    <w:rsid w:val="00BF48A9"/>
    <w:rsid w:val="00BF49DD"/>
    <w:rsid w:val="00BF521D"/>
    <w:rsid w:val="00BF5887"/>
    <w:rsid w:val="00BF5E6A"/>
    <w:rsid w:val="00BF6E38"/>
    <w:rsid w:val="00BF75EA"/>
    <w:rsid w:val="00BF7CC7"/>
    <w:rsid w:val="00C00ECF"/>
    <w:rsid w:val="00C01246"/>
    <w:rsid w:val="00C03DCC"/>
    <w:rsid w:val="00C03E0A"/>
    <w:rsid w:val="00C04309"/>
    <w:rsid w:val="00C04817"/>
    <w:rsid w:val="00C049E8"/>
    <w:rsid w:val="00C04DEA"/>
    <w:rsid w:val="00C06288"/>
    <w:rsid w:val="00C067BC"/>
    <w:rsid w:val="00C06F17"/>
    <w:rsid w:val="00C06F66"/>
    <w:rsid w:val="00C0733A"/>
    <w:rsid w:val="00C074EB"/>
    <w:rsid w:val="00C10496"/>
    <w:rsid w:val="00C10976"/>
    <w:rsid w:val="00C111F3"/>
    <w:rsid w:val="00C117F6"/>
    <w:rsid w:val="00C12016"/>
    <w:rsid w:val="00C12C5A"/>
    <w:rsid w:val="00C13FD3"/>
    <w:rsid w:val="00C17D0B"/>
    <w:rsid w:val="00C17D82"/>
    <w:rsid w:val="00C17E41"/>
    <w:rsid w:val="00C2134D"/>
    <w:rsid w:val="00C22230"/>
    <w:rsid w:val="00C22ACA"/>
    <w:rsid w:val="00C22C7B"/>
    <w:rsid w:val="00C230A4"/>
    <w:rsid w:val="00C231F6"/>
    <w:rsid w:val="00C2354B"/>
    <w:rsid w:val="00C2362A"/>
    <w:rsid w:val="00C23E5C"/>
    <w:rsid w:val="00C23F63"/>
    <w:rsid w:val="00C25077"/>
    <w:rsid w:val="00C2524A"/>
    <w:rsid w:val="00C2561A"/>
    <w:rsid w:val="00C267B6"/>
    <w:rsid w:val="00C26A4E"/>
    <w:rsid w:val="00C26B79"/>
    <w:rsid w:val="00C26BFD"/>
    <w:rsid w:val="00C27801"/>
    <w:rsid w:val="00C27AD3"/>
    <w:rsid w:val="00C315B3"/>
    <w:rsid w:val="00C31805"/>
    <w:rsid w:val="00C31F7A"/>
    <w:rsid w:val="00C31FAF"/>
    <w:rsid w:val="00C3228D"/>
    <w:rsid w:val="00C3230E"/>
    <w:rsid w:val="00C342D7"/>
    <w:rsid w:val="00C343D6"/>
    <w:rsid w:val="00C348F6"/>
    <w:rsid w:val="00C360A1"/>
    <w:rsid w:val="00C36221"/>
    <w:rsid w:val="00C37321"/>
    <w:rsid w:val="00C37D05"/>
    <w:rsid w:val="00C4000F"/>
    <w:rsid w:val="00C4055D"/>
    <w:rsid w:val="00C41256"/>
    <w:rsid w:val="00C412DC"/>
    <w:rsid w:val="00C417D9"/>
    <w:rsid w:val="00C41988"/>
    <w:rsid w:val="00C41D7B"/>
    <w:rsid w:val="00C42FEF"/>
    <w:rsid w:val="00C434BB"/>
    <w:rsid w:val="00C43645"/>
    <w:rsid w:val="00C43B99"/>
    <w:rsid w:val="00C43ED2"/>
    <w:rsid w:val="00C44EDD"/>
    <w:rsid w:val="00C4561F"/>
    <w:rsid w:val="00C45D32"/>
    <w:rsid w:val="00C46F76"/>
    <w:rsid w:val="00C507F3"/>
    <w:rsid w:val="00C50D21"/>
    <w:rsid w:val="00C51617"/>
    <w:rsid w:val="00C51920"/>
    <w:rsid w:val="00C51949"/>
    <w:rsid w:val="00C51A24"/>
    <w:rsid w:val="00C51AB0"/>
    <w:rsid w:val="00C51C67"/>
    <w:rsid w:val="00C52047"/>
    <w:rsid w:val="00C5246D"/>
    <w:rsid w:val="00C52CB7"/>
    <w:rsid w:val="00C52CF9"/>
    <w:rsid w:val="00C53774"/>
    <w:rsid w:val="00C54011"/>
    <w:rsid w:val="00C5406A"/>
    <w:rsid w:val="00C5413E"/>
    <w:rsid w:val="00C544F9"/>
    <w:rsid w:val="00C5484E"/>
    <w:rsid w:val="00C54D27"/>
    <w:rsid w:val="00C555C8"/>
    <w:rsid w:val="00C5599B"/>
    <w:rsid w:val="00C55B4D"/>
    <w:rsid w:val="00C56146"/>
    <w:rsid w:val="00C56B08"/>
    <w:rsid w:val="00C571CE"/>
    <w:rsid w:val="00C602EE"/>
    <w:rsid w:val="00C60D2F"/>
    <w:rsid w:val="00C60FBB"/>
    <w:rsid w:val="00C61438"/>
    <w:rsid w:val="00C618CB"/>
    <w:rsid w:val="00C61A6B"/>
    <w:rsid w:val="00C61FCF"/>
    <w:rsid w:val="00C6259F"/>
    <w:rsid w:val="00C63228"/>
    <w:rsid w:val="00C63C23"/>
    <w:rsid w:val="00C6414F"/>
    <w:rsid w:val="00C65073"/>
    <w:rsid w:val="00C66273"/>
    <w:rsid w:val="00C67553"/>
    <w:rsid w:val="00C676E7"/>
    <w:rsid w:val="00C677E0"/>
    <w:rsid w:val="00C67B66"/>
    <w:rsid w:val="00C70176"/>
    <w:rsid w:val="00C707AC"/>
    <w:rsid w:val="00C70864"/>
    <w:rsid w:val="00C712AB"/>
    <w:rsid w:val="00C72159"/>
    <w:rsid w:val="00C739A4"/>
    <w:rsid w:val="00C739E8"/>
    <w:rsid w:val="00C73A8A"/>
    <w:rsid w:val="00C74148"/>
    <w:rsid w:val="00C74B1C"/>
    <w:rsid w:val="00C74B27"/>
    <w:rsid w:val="00C74F32"/>
    <w:rsid w:val="00C7514C"/>
    <w:rsid w:val="00C757D8"/>
    <w:rsid w:val="00C75C4B"/>
    <w:rsid w:val="00C7657D"/>
    <w:rsid w:val="00C765FC"/>
    <w:rsid w:val="00C766A1"/>
    <w:rsid w:val="00C76AD7"/>
    <w:rsid w:val="00C76DCF"/>
    <w:rsid w:val="00C77042"/>
    <w:rsid w:val="00C7758C"/>
    <w:rsid w:val="00C77640"/>
    <w:rsid w:val="00C77B57"/>
    <w:rsid w:val="00C81453"/>
    <w:rsid w:val="00C820F0"/>
    <w:rsid w:val="00C82BDE"/>
    <w:rsid w:val="00C83825"/>
    <w:rsid w:val="00C83863"/>
    <w:rsid w:val="00C8391E"/>
    <w:rsid w:val="00C83CE9"/>
    <w:rsid w:val="00C83DDB"/>
    <w:rsid w:val="00C84434"/>
    <w:rsid w:val="00C85B4C"/>
    <w:rsid w:val="00C85C83"/>
    <w:rsid w:val="00C862ED"/>
    <w:rsid w:val="00C87322"/>
    <w:rsid w:val="00C87691"/>
    <w:rsid w:val="00C87726"/>
    <w:rsid w:val="00C87928"/>
    <w:rsid w:val="00C91A28"/>
    <w:rsid w:val="00C929DC"/>
    <w:rsid w:val="00C92AEF"/>
    <w:rsid w:val="00C92B4A"/>
    <w:rsid w:val="00C92EE6"/>
    <w:rsid w:val="00C93630"/>
    <w:rsid w:val="00C93C26"/>
    <w:rsid w:val="00C94A9F"/>
    <w:rsid w:val="00C9576D"/>
    <w:rsid w:val="00C958CD"/>
    <w:rsid w:val="00C961C7"/>
    <w:rsid w:val="00C9640D"/>
    <w:rsid w:val="00C97972"/>
    <w:rsid w:val="00C97EFB"/>
    <w:rsid w:val="00CA041F"/>
    <w:rsid w:val="00CA0626"/>
    <w:rsid w:val="00CA0DC3"/>
    <w:rsid w:val="00CA1C61"/>
    <w:rsid w:val="00CA1C98"/>
    <w:rsid w:val="00CA2A63"/>
    <w:rsid w:val="00CA3233"/>
    <w:rsid w:val="00CA38DA"/>
    <w:rsid w:val="00CA42A1"/>
    <w:rsid w:val="00CA4591"/>
    <w:rsid w:val="00CA4F0C"/>
    <w:rsid w:val="00CA54FD"/>
    <w:rsid w:val="00CA56FD"/>
    <w:rsid w:val="00CA5A57"/>
    <w:rsid w:val="00CA6D0F"/>
    <w:rsid w:val="00CA6DA7"/>
    <w:rsid w:val="00CA6F93"/>
    <w:rsid w:val="00CA72A9"/>
    <w:rsid w:val="00CB0CC6"/>
    <w:rsid w:val="00CB1983"/>
    <w:rsid w:val="00CB1C13"/>
    <w:rsid w:val="00CB1F08"/>
    <w:rsid w:val="00CB2C44"/>
    <w:rsid w:val="00CB392E"/>
    <w:rsid w:val="00CB4274"/>
    <w:rsid w:val="00CB4CE6"/>
    <w:rsid w:val="00CB5138"/>
    <w:rsid w:val="00CB55BD"/>
    <w:rsid w:val="00CB656B"/>
    <w:rsid w:val="00CB76C3"/>
    <w:rsid w:val="00CB7D08"/>
    <w:rsid w:val="00CC0388"/>
    <w:rsid w:val="00CC044E"/>
    <w:rsid w:val="00CC07F7"/>
    <w:rsid w:val="00CC0E9F"/>
    <w:rsid w:val="00CC1869"/>
    <w:rsid w:val="00CC28E6"/>
    <w:rsid w:val="00CC3486"/>
    <w:rsid w:val="00CC35E2"/>
    <w:rsid w:val="00CC4EB0"/>
    <w:rsid w:val="00CC5F83"/>
    <w:rsid w:val="00CC60A3"/>
    <w:rsid w:val="00CC6454"/>
    <w:rsid w:val="00CC69C3"/>
    <w:rsid w:val="00CC6A73"/>
    <w:rsid w:val="00CC6EBB"/>
    <w:rsid w:val="00CC6F13"/>
    <w:rsid w:val="00CC7394"/>
    <w:rsid w:val="00CC7A7D"/>
    <w:rsid w:val="00CD15E6"/>
    <w:rsid w:val="00CD1685"/>
    <w:rsid w:val="00CD247E"/>
    <w:rsid w:val="00CD272E"/>
    <w:rsid w:val="00CD32C4"/>
    <w:rsid w:val="00CD36D4"/>
    <w:rsid w:val="00CD3D27"/>
    <w:rsid w:val="00CD3E9D"/>
    <w:rsid w:val="00CD5C29"/>
    <w:rsid w:val="00CD7179"/>
    <w:rsid w:val="00CD7AE6"/>
    <w:rsid w:val="00CD7B15"/>
    <w:rsid w:val="00CE0616"/>
    <w:rsid w:val="00CE17A3"/>
    <w:rsid w:val="00CE190A"/>
    <w:rsid w:val="00CE2CA9"/>
    <w:rsid w:val="00CE2D25"/>
    <w:rsid w:val="00CE2FBC"/>
    <w:rsid w:val="00CE3798"/>
    <w:rsid w:val="00CE3D90"/>
    <w:rsid w:val="00CE422B"/>
    <w:rsid w:val="00CE439F"/>
    <w:rsid w:val="00CE43B8"/>
    <w:rsid w:val="00CE5092"/>
    <w:rsid w:val="00CE5781"/>
    <w:rsid w:val="00CE6BC7"/>
    <w:rsid w:val="00CE6DE0"/>
    <w:rsid w:val="00CE705C"/>
    <w:rsid w:val="00CE736B"/>
    <w:rsid w:val="00CE7866"/>
    <w:rsid w:val="00CF008B"/>
    <w:rsid w:val="00CF0660"/>
    <w:rsid w:val="00CF06DD"/>
    <w:rsid w:val="00CF10E1"/>
    <w:rsid w:val="00CF16F5"/>
    <w:rsid w:val="00CF1D9A"/>
    <w:rsid w:val="00CF1F13"/>
    <w:rsid w:val="00CF3798"/>
    <w:rsid w:val="00CF39EA"/>
    <w:rsid w:val="00CF4103"/>
    <w:rsid w:val="00CF440F"/>
    <w:rsid w:val="00CF47A5"/>
    <w:rsid w:val="00CF4B71"/>
    <w:rsid w:val="00CF502A"/>
    <w:rsid w:val="00CF594B"/>
    <w:rsid w:val="00CF5E0A"/>
    <w:rsid w:val="00CF60CF"/>
    <w:rsid w:val="00CF6A2B"/>
    <w:rsid w:val="00CF6A92"/>
    <w:rsid w:val="00CF6AA8"/>
    <w:rsid w:val="00CF7A2F"/>
    <w:rsid w:val="00CF7CB2"/>
    <w:rsid w:val="00CF7CF8"/>
    <w:rsid w:val="00D00CE7"/>
    <w:rsid w:val="00D00F51"/>
    <w:rsid w:val="00D01D91"/>
    <w:rsid w:val="00D020F7"/>
    <w:rsid w:val="00D02368"/>
    <w:rsid w:val="00D029FA"/>
    <w:rsid w:val="00D037CA"/>
    <w:rsid w:val="00D04933"/>
    <w:rsid w:val="00D05488"/>
    <w:rsid w:val="00D05498"/>
    <w:rsid w:val="00D0656E"/>
    <w:rsid w:val="00D07644"/>
    <w:rsid w:val="00D07B43"/>
    <w:rsid w:val="00D07CF0"/>
    <w:rsid w:val="00D07E55"/>
    <w:rsid w:val="00D1026B"/>
    <w:rsid w:val="00D10D7E"/>
    <w:rsid w:val="00D12723"/>
    <w:rsid w:val="00D12B08"/>
    <w:rsid w:val="00D12B6C"/>
    <w:rsid w:val="00D12DAD"/>
    <w:rsid w:val="00D133CF"/>
    <w:rsid w:val="00D1421F"/>
    <w:rsid w:val="00D143CE"/>
    <w:rsid w:val="00D147BA"/>
    <w:rsid w:val="00D15198"/>
    <w:rsid w:val="00D1520F"/>
    <w:rsid w:val="00D157ED"/>
    <w:rsid w:val="00D15945"/>
    <w:rsid w:val="00D16FE6"/>
    <w:rsid w:val="00D173FE"/>
    <w:rsid w:val="00D17533"/>
    <w:rsid w:val="00D17873"/>
    <w:rsid w:val="00D20697"/>
    <w:rsid w:val="00D208E5"/>
    <w:rsid w:val="00D20CF1"/>
    <w:rsid w:val="00D20E1D"/>
    <w:rsid w:val="00D2132B"/>
    <w:rsid w:val="00D216F0"/>
    <w:rsid w:val="00D21D71"/>
    <w:rsid w:val="00D21DE7"/>
    <w:rsid w:val="00D22874"/>
    <w:rsid w:val="00D22A00"/>
    <w:rsid w:val="00D22A53"/>
    <w:rsid w:val="00D23115"/>
    <w:rsid w:val="00D24804"/>
    <w:rsid w:val="00D25027"/>
    <w:rsid w:val="00D2660D"/>
    <w:rsid w:val="00D27227"/>
    <w:rsid w:val="00D2725A"/>
    <w:rsid w:val="00D277AA"/>
    <w:rsid w:val="00D27C64"/>
    <w:rsid w:val="00D304BB"/>
    <w:rsid w:val="00D305AF"/>
    <w:rsid w:val="00D30CF9"/>
    <w:rsid w:val="00D31853"/>
    <w:rsid w:val="00D3285C"/>
    <w:rsid w:val="00D338EF"/>
    <w:rsid w:val="00D33DF7"/>
    <w:rsid w:val="00D34332"/>
    <w:rsid w:val="00D35B11"/>
    <w:rsid w:val="00D35E63"/>
    <w:rsid w:val="00D35EBB"/>
    <w:rsid w:val="00D3748C"/>
    <w:rsid w:val="00D37F54"/>
    <w:rsid w:val="00D40639"/>
    <w:rsid w:val="00D40E49"/>
    <w:rsid w:val="00D41E20"/>
    <w:rsid w:val="00D4224F"/>
    <w:rsid w:val="00D425B9"/>
    <w:rsid w:val="00D428B9"/>
    <w:rsid w:val="00D442E6"/>
    <w:rsid w:val="00D44548"/>
    <w:rsid w:val="00D446C3"/>
    <w:rsid w:val="00D45712"/>
    <w:rsid w:val="00D4586C"/>
    <w:rsid w:val="00D45A42"/>
    <w:rsid w:val="00D45BF8"/>
    <w:rsid w:val="00D46392"/>
    <w:rsid w:val="00D46459"/>
    <w:rsid w:val="00D472BD"/>
    <w:rsid w:val="00D47A92"/>
    <w:rsid w:val="00D47AD7"/>
    <w:rsid w:val="00D5027C"/>
    <w:rsid w:val="00D50426"/>
    <w:rsid w:val="00D50A2B"/>
    <w:rsid w:val="00D50A2F"/>
    <w:rsid w:val="00D50EF0"/>
    <w:rsid w:val="00D51F1B"/>
    <w:rsid w:val="00D521A9"/>
    <w:rsid w:val="00D525F7"/>
    <w:rsid w:val="00D52867"/>
    <w:rsid w:val="00D53CA8"/>
    <w:rsid w:val="00D53FBA"/>
    <w:rsid w:val="00D54461"/>
    <w:rsid w:val="00D5479C"/>
    <w:rsid w:val="00D54BD5"/>
    <w:rsid w:val="00D5563F"/>
    <w:rsid w:val="00D55A29"/>
    <w:rsid w:val="00D57247"/>
    <w:rsid w:val="00D57260"/>
    <w:rsid w:val="00D5797D"/>
    <w:rsid w:val="00D57B06"/>
    <w:rsid w:val="00D60004"/>
    <w:rsid w:val="00D60D42"/>
    <w:rsid w:val="00D60DDA"/>
    <w:rsid w:val="00D61318"/>
    <w:rsid w:val="00D61E90"/>
    <w:rsid w:val="00D62298"/>
    <w:rsid w:val="00D6263C"/>
    <w:rsid w:val="00D627A0"/>
    <w:rsid w:val="00D628EE"/>
    <w:rsid w:val="00D629EA"/>
    <w:rsid w:val="00D62A26"/>
    <w:rsid w:val="00D62C99"/>
    <w:rsid w:val="00D6335F"/>
    <w:rsid w:val="00D634B2"/>
    <w:rsid w:val="00D639DD"/>
    <w:rsid w:val="00D63AC7"/>
    <w:rsid w:val="00D63B03"/>
    <w:rsid w:val="00D64A34"/>
    <w:rsid w:val="00D6569E"/>
    <w:rsid w:val="00D65DC6"/>
    <w:rsid w:val="00D660E3"/>
    <w:rsid w:val="00D66624"/>
    <w:rsid w:val="00D66D39"/>
    <w:rsid w:val="00D66E76"/>
    <w:rsid w:val="00D6709C"/>
    <w:rsid w:val="00D6768B"/>
    <w:rsid w:val="00D67797"/>
    <w:rsid w:val="00D677FF"/>
    <w:rsid w:val="00D67E27"/>
    <w:rsid w:val="00D70057"/>
    <w:rsid w:val="00D701A6"/>
    <w:rsid w:val="00D70551"/>
    <w:rsid w:val="00D70B09"/>
    <w:rsid w:val="00D70C8B"/>
    <w:rsid w:val="00D7100F"/>
    <w:rsid w:val="00D728EB"/>
    <w:rsid w:val="00D73470"/>
    <w:rsid w:val="00D741AD"/>
    <w:rsid w:val="00D74942"/>
    <w:rsid w:val="00D75E48"/>
    <w:rsid w:val="00D77868"/>
    <w:rsid w:val="00D778B9"/>
    <w:rsid w:val="00D80689"/>
    <w:rsid w:val="00D813FB"/>
    <w:rsid w:val="00D8198F"/>
    <w:rsid w:val="00D83289"/>
    <w:rsid w:val="00D8344C"/>
    <w:rsid w:val="00D83649"/>
    <w:rsid w:val="00D8367C"/>
    <w:rsid w:val="00D83BBD"/>
    <w:rsid w:val="00D842AE"/>
    <w:rsid w:val="00D842EE"/>
    <w:rsid w:val="00D84674"/>
    <w:rsid w:val="00D85345"/>
    <w:rsid w:val="00D855CB"/>
    <w:rsid w:val="00D85935"/>
    <w:rsid w:val="00D85F75"/>
    <w:rsid w:val="00D85FC2"/>
    <w:rsid w:val="00D85FE1"/>
    <w:rsid w:val="00D86041"/>
    <w:rsid w:val="00D87028"/>
    <w:rsid w:val="00D8708B"/>
    <w:rsid w:val="00D8790C"/>
    <w:rsid w:val="00D91532"/>
    <w:rsid w:val="00D915B3"/>
    <w:rsid w:val="00D92068"/>
    <w:rsid w:val="00D92096"/>
    <w:rsid w:val="00D92249"/>
    <w:rsid w:val="00D922C9"/>
    <w:rsid w:val="00D922FD"/>
    <w:rsid w:val="00D92C41"/>
    <w:rsid w:val="00D932FD"/>
    <w:rsid w:val="00D937AD"/>
    <w:rsid w:val="00D93FC5"/>
    <w:rsid w:val="00D9459B"/>
    <w:rsid w:val="00D9728E"/>
    <w:rsid w:val="00D97AA6"/>
    <w:rsid w:val="00D97F4C"/>
    <w:rsid w:val="00DA032D"/>
    <w:rsid w:val="00DA0A66"/>
    <w:rsid w:val="00DA161C"/>
    <w:rsid w:val="00DA184A"/>
    <w:rsid w:val="00DA1E9C"/>
    <w:rsid w:val="00DA1F00"/>
    <w:rsid w:val="00DA1FFA"/>
    <w:rsid w:val="00DA2114"/>
    <w:rsid w:val="00DA28AB"/>
    <w:rsid w:val="00DA3D51"/>
    <w:rsid w:val="00DA42FB"/>
    <w:rsid w:val="00DA56E7"/>
    <w:rsid w:val="00DA7318"/>
    <w:rsid w:val="00DA74A7"/>
    <w:rsid w:val="00DA7DA2"/>
    <w:rsid w:val="00DA7DBF"/>
    <w:rsid w:val="00DB010B"/>
    <w:rsid w:val="00DB0B75"/>
    <w:rsid w:val="00DB14F9"/>
    <w:rsid w:val="00DB1D42"/>
    <w:rsid w:val="00DB1EAE"/>
    <w:rsid w:val="00DB260F"/>
    <w:rsid w:val="00DB2796"/>
    <w:rsid w:val="00DB290E"/>
    <w:rsid w:val="00DB2DCF"/>
    <w:rsid w:val="00DB3F12"/>
    <w:rsid w:val="00DB3F53"/>
    <w:rsid w:val="00DB4CE5"/>
    <w:rsid w:val="00DB55F0"/>
    <w:rsid w:val="00DB5EB0"/>
    <w:rsid w:val="00DB6806"/>
    <w:rsid w:val="00DB68A3"/>
    <w:rsid w:val="00DB73AE"/>
    <w:rsid w:val="00DB790E"/>
    <w:rsid w:val="00DB7F2E"/>
    <w:rsid w:val="00DB7F99"/>
    <w:rsid w:val="00DC185C"/>
    <w:rsid w:val="00DC2784"/>
    <w:rsid w:val="00DC2CED"/>
    <w:rsid w:val="00DC2F05"/>
    <w:rsid w:val="00DC3772"/>
    <w:rsid w:val="00DC3852"/>
    <w:rsid w:val="00DC4175"/>
    <w:rsid w:val="00DC43B4"/>
    <w:rsid w:val="00DC464C"/>
    <w:rsid w:val="00DC4A53"/>
    <w:rsid w:val="00DC4B69"/>
    <w:rsid w:val="00DC4CD9"/>
    <w:rsid w:val="00DC4F9A"/>
    <w:rsid w:val="00DC5481"/>
    <w:rsid w:val="00DC5A9C"/>
    <w:rsid w:val="00DC5DED"/>
    <w:rsid w:val="00DC6EC3"/>
    <w:rsid w:val="00DD1CA5"/>
    <w:rsid w:val="00DD39BF"/>
    <w:rsid w:val="00DD3A30"/>
    <w:rsid w:val="00DD3E05"/>
    <w:rsid w:val="00DD471B"/>
    <w:rsid w:val="00DD48B9"/>
    <w:rsid w:val="00DD5DB0"/>
    <w:rsid w:val="00DD60A2"/>
    <w:rsid w:val="00DD689A"/>
    <w:rsid w:val="00DD6ABA"/>
    <w:rsid w:val="00DD7420"/>
    <w:rsid w:val="00DD76BB"/>
    <w:rsid w:val="00DE039E"/>
    <w:rsid w:val="00DE0FEE"/>
    <w:rsid w:val="00DE1393"/>
    <w:rsid w:val="00DE2151"/>
    <w:rsid w:val="00DE231B"/>
    <w:rsid w:val="00DE23FE"/>
    <w:rsid w:val="00DE2B21"/>
    <w:rsid w:val="00DE2C8C"/>
    <w:rsid w:val="00DE2D29"/>
    <w:rsid w:val="00DE2FB7"/>
    <w:rsid w:val="00DE3046"/>
    <w:rsid w:val="00DE402F"/>
    <w:rsid w:val="00DE407A"/>
    <w:rsid w:val="00DE48E2"/>
    <w:rsid w:val="00DE4C6E"/>
    <w:rsid w:val="00DE76E2"/>
    <w:rsid w:val="00DE7D6B"/>
    <w:rsid w:val="00DF0127"/>
    <w:rsid w:val="00DF0223"/>
    <w:rsid w:val="00DF0379"/>
    <w:rsid w:val="00DF05B3"/>
    <w:rsid w:val="00DF0BC8"/>
    <w:rsid w:val="00DF1300"/>
    <w:rsid w:val="00DF155D"/>
    <w:rsid w:val="00DF166C"/>
    <w:rsid w:val="00DF23C1"/>
    <w:rsid w:val="00DF26C9"/>
    <w:rsid w:val="00DF2741"/>
    <w:rsid w:val="00DF4304"/>
    <w:rsid w:val="00DF4495"/>
    <w:rsid w:val="00DF44F6"/>
    <w:rsid w:val="00DF4918"/>
    <w:rsid w:val="00DF5008"/>
    <w:rsid w:val="00DF557D"/>
    <w:rsid w:val="00DF6F48"/>
    <w:rsid w:val="00DF75AA"/>
    <w:rsid w:val="00E000FC"/>
    <w:rsid w:val="00E00969"/>
    <w:rsid w:val="00E00FF4"/>
    <w:rsid w:val="00E0254A"/>
    <w:rsid w:val="00E03796"/>
    <w:rsid w:val="00E03DB6"/>
    <w:rsid w:val="00E05805"/>
    <w:rsid w:val="00E065D5"/>
    <w:rsid w:val="00E07465"/>
    <w:rsid w:val="00E07EC7"/>
    <w:rsid w:val="00E11278"/>
    <w:rsid w:val="00E1260B"/>
    <w:rsid w:val="00E128BB"/>
    <w:rsid w:val="00E12A6C"/>
    <w:rsid w:val="00E142AA"/>
    <w:rsid w:val="00E14532"/>
    <w:rsid w:val="00E14668"/>
    <w:rsid w:val="00E14CAC"/>
    <w:rsid w:val="00E14F2F"/>
    <w:rsid w:val="00E15ACB"/>
    <w:rsid w:val="00E167EF"/>
    <w:rsid w:val="00E16E5E"/>
    <w:rsid w:val="00E177BB"/>
    <w:rsid w:val="00E205C7"/>
    <w:rsid w:val="00E206B6"/>
    <w:rsid w:val="00E211B4"/>
    <w:rsid w:val="00E22029"/>
    <w:rsid w:val="00E236CC"/>
    <w:rsid w:val="00E236D0"/>
    <w:rsid w:val="00E242E9"/>
    <w:rsid w:val="00E24F48"/>
    <w:rsid w:val="00E25490"/>
    <w:rsid w:val="00E261E2"/>
    <w:rsid w:val="00E26C06"/>
    <w:rsid w:val="00E26CCE"/>
    <w:rsid w:val="00E2722E"/>
    <w:rsid w:val="00E276BF"/>
    <w:rsid w:val="00E27BF1"/>
    <w:rsid w:val="00E27FB2"/>
    <w:rsid w:val="00E30494"/>
    <w:rsid w:val="00E30DBD"/>
    <w:rsid w:val="00E31C05"/>
    <w:rsid w:val="00E31F15"/>
    <w:rsid w:val="00E328F0"/>
    <w:rsid w:val="00E32E26"/>
    <w:rsid w:val="00E332A4"/>
    <w:rsid w:val="00E339C0"/>
    <w:rsid w:val="00E34045"/>
    <w:rsid w:val="00E3411B"/>
    <w:rsid w:val="00E343EB"/>
    <w:rsid w:val="00E34498"/>
    <w:rsid w:val="00E34D99"/>
    <w:rsid w:val="00E35231"/>
    <w:rsid w:val="00E354C8"/>
    <w:rsid w:val="00E36AFC"/>
    <w:rsid w:val="00E37032"/>
    <w:rsid w:val="00E370D4"/>
    <w:rsid w:val="00E37F6C"/>
    <w:rsid w:val="00E43043"/>
    <w:rsid w:val="00E45150"/>
    <w:rsid w:val="00E458A8"/>
    <w:rsid w:val="00E46307"/>
    <w:rsid w:val="00E46734"/>
    <w:rsid w:val="00E46ABC"/>
    <w:rsid w:val="00E50631"/>
    <w:rsid w:val="00E50882"/>
    <w:rsid w:val="00E50F79"/>
    <w:rsid w:val="00E5107C"/>
    <w:rsid w:val="00E51BF3"/>
    <w:rsid w:val="00E52109"/>
    <w:rsid w:val="00E5244F"/>
    <w:rsid w:val="00E52723"/>
    <w:rsid w:val="00E52900"/>
    <w:rsid w:val="00E52DCA"/>
    <w:rsid w:val="00E53E40"/>
    <w:rsid w:val="00E54159"/>
    <w:rsid w:val="00E5466F"/>
    <w:rsid w:val="00E54766"/>
    <w:rsid w:val="00E54ADD"/>
    <w:rsid w:val="00E54B43"/>
    <w:rsid w:val="00E5561F"/>
    <w:rsid w:val="00E5689C"/>
    <w:rsid w:val="00E56B13"/>
    <w:rsid w:val="00E57BAE"/>
    <w:rsid w:val="00E60C79"/>
    <w:rsid w:val="00E60EA8"/>
    <w:rsid w:val="00E610C1"/>
    <w:rsid w:val="00E6128F"/>
    <w:rsid w:val="00E618F4"/>
    <w:rsid w:val="00E61B8C"/>
    <w:rsid w:val="00E62255"/>
    <w:rsid w:val="00E630C0"/>
    <w:rsid w:val="00E63B22"/>
    <w:rsid w:val="00E64396"/>
    <w:rsid w:val="00E64491"/>
    <w:rsid w:val="00E648A2"/>
    <w:rsid w:val="00E64A4D"/>
    <w:rsid w:val="00E64F80"/>
    <w:rsid w:val="00E66B83"/>
    <w:rsid w:val="00E66C77"/>
    <w:rsid w:val="00E70A6D"/>
    <w:rsid w:val="00E70D0B"/>
    <w:rsid w:val="00E71195"/>
    <w:rsid w:val="00E71241"/>
    <w:rsid w:val="00E71C21"/>
    <w:rsid w:val="00E71C31"/>
    <w:rsid w:val="00E72437"/>
    <w:rsid w:val="00E729FA"/>
    <w:rsid w:val="00E72CEA"/>
    <w:rsid w:val="00E7433A"/>
    <w:rsid w:val="00E74664"/>
    <w:rsid w:val="00E748B4"/>
    <w:rsid w:val="00E75179"/>
    <w:rsid w:val="00E762B2"/>
    <w:rsid w:val="00E76453"/>
    <w:rsid w:val="00E76F36"/>
    <w:rsid w:val="00E770A4"/>
    <w:rsid w:val="00E77111"/>
    <w:rsid w:val="00E8076A"/>
    <w:rsid w:val="00E808EE"/>
    <w:rsid w:val="00E80EC9"/>
    <w:rsid w:val="00E81F04"/>
    <w:rsid w:val="00E830F3"/>
    <w:rsid w:val="00E83F50"/>
    <w:rsid w:val="00E84F71"/>
    <w:rsid w:val="00E857BF"/>
    <w:rsid w:val="00E85895"/>
    <w:rsid w:val="00E861B2"/>
    <w:rsid w:val="00E86577"/>
    <w:rsid w:val="00E87125"/>
    <w:rsid w:val="00E87177"/>
    <w:rsid w:val="00E87ADA"/>
    <w:rsid w:val="00E90005"/>
    <w:rsid w:val="00E900E6"/>
    <w:rsid w:val="00E9111E"/>
    <w:rsid w:val="00E91D3F"/>
    <w:rsid w:val="00E91FF8"/>
    <w:rsid w:val="00E9324F"/>
    <w:rsid w:val="00E933B3"/>
    <w:rsid w:val="00E949D5"/>
    <w:rsid w:val="00E9515B"/>
    <w:rsid w:val="00E957D7"/>
    <w:rsid w:val="00E95823"/>
    <w:rsid w:val="00E97658"/>
    <w:rsid w:val="00E9798D"/>
    <w:rsid w:val="00EA02E2"/>
    <w:rsid w:val="00EA0721"/>
    <w:rsid w:val="00EA07E6"/>
    <w:rsid w:val="00EA0A06"/>
    <w:rsid w:val="00EA10AD"/>
    <w:rsid w:val="00EA16B8"/>
    <w:rsid w:val="00EA179D"/>
    <w:rsid w:val="00EA1B09"/>
    <w:rsid w:val="00EA1C3D"/>
    <w:rsid w:val="00EA2006"/>
    <w:rsid w:val="00EA2DEA"/>
    <w:rsid w:val="00EA3722"/>
    <w:rsid w:val="00EA3808"/>
    <w:rsid w:val="00EA3D65"/>
    <w:rsid w:val="00EA3DD7"/>
    <w:rsid w:val="00EA3EC1"/>
    <w:rsid w:val="00EA4228"/>
    <w:rsid w:val="00EA4E94"/>
    <w:rsid w:val="00EA5569"/>
    <w:rsid w:val="00EA5CEA"/>
    <w:rsid w:val="00EA609A"/>
    <w:rsid w:val="00EA6E0E"/>
    <w:rsid w:val="00EA73B9"/>
    <w:rsid w:val="00EA79F9"/>
    <w:rsid w:val="00EA7E98"/>
    <w:rsid w:val="00EB0190"/>
    <w:rsid w:val="00EB023D"/>
    <w:rsid w:val="00EB0958"/>
    <w:rsid w:val="00EB1190"/>
    <w:rsid w:val="00EB126A"/>
    <w:rsid w:val="00EB14DA"/>
    <w:rsid w:val="00EB1876"/>
    <w:rsid w:val="00EB18D4"/>
    <w:rsid w:val="00EB1D75"/>
    <w:rsid w:val="00EB1DB4"/>
    <w:rsid w:val="00EB2D8B"/>
    <w:rsid w:val="00EB3755"/>
    <w:rsid w:val="00EB3F0E"/>
    <w:rsid w:val="00EB4DC4"/>
    <w:rsid w:val="00EB5930"/>
    <w:rsid w:val="00EB6819"/>
    <w:rsid w:val="00EB7C55"/>
    <w:rsid w:val="00EB7ED0"/>
    <w:rsid w:val="00EC092F"/>
    <w:rsid w:val="00EC0D9C"/>
    <w:rsid w:val="00EC10A9"/>
    <w:rsid w:val="00EC155D"/>
    <w:rsid w:val="00EC222B"/>
    <w:rsid w:val="00EC2E8C"/>
    <w:rsid w:val="00EC33A5"/>
    <w:rsid w:val="00EC3C7A"/>
    <w:rsid w:val="00EC3FDB"/>
    <w:rsid w:val="00EC4398"/>
    <w:rsid w:val="00EC46A3"/>
    <w:rsid w:val="00EC47A1"/>
    <w:rsid w:val="00EC47C3"/>
    <w:rsid w:val="00EC489B"/>
    <w:rsid w:val="00EC4978"/>
    <w:rsid w:val="00EC49A8"/>
    <w:rsid w:val="00EC4AF5"/>
    <w:rsid w:val="00EC4AFC"/>
    <w:rsid w:val="00EC6050"/>
    <w:rsid w:val="00EC612B"/>
    <w:rsid w:val="00EC6505"/>
    <w:rsid w:val="00EC6809"/>
    <w:rsid w:val="00EC7430"/>
    <w:rsid w:val="00EC77DB"/>
    <w:rsid w:val="00EC79DD"/>
    <w:rsid w:val="00EC7CB3"/>
    <w:rsid w:val="00EC7E96"/>
    <w:rsid w:val="00ED00C4"/>
    <w:rsid w:val="00ED0A63"/>
    <w:rsid w:val="00ED1161"/>
    <w:rsid w:val="00ED14D1"/>
    <w:rsid w:val="00ED1724"/>
    <w:rsid w:val="00ED1CEA"/>
    <w:rsid w:val="00ED221D"/>
    <w:rsid w:val="00ED25D8"/>
    <w:rsid w:val="00ED2A79"/>
    <w:rsid w:val="00ED3536"/>
    <w:rsid w:val="00ED388C"/>
    <w:rsid w:val="00ED3D7E"/>
    <w:rsid w:val="00ED3E6C"/>
    <w:rsid w:val="00ED40D4"/>
    <w:rsid w:val="00ED41C6"/>
    <w:rsid w:val="00ED430C"/>
    <w:rsid w:val="00ED5D84"/>
    <w:rsid w:val="00ED7241"/>
    <w:rsid w:val="00EE0B94"/>
    <w:rsid w:val="00EE2105"/>
    <w:rsid w:val="00EE2829"/>
    <w:rsid w:val="00EE3F0C"/>
    <w:rsid w:val="00EE3F7B"/>
    <w:rsid w:val="00EE490C"/>
    <w:rsid w:val="00EE53AE"/>
    <w:rsid w:val="00EE58F2"/>
    <w:rsid w:val="00EE609C"/>
    <w:rsid w:val="00EE672E"/>
    <w:rsid w:val="00EE67F3"/>
    <w:rsid w:val="00EE6A72"/>
    <w:rsid w:val="00EE6ADD"/>
    <w:rsid w:val="00EE7193"/>
    <w:rsid w:val="00EE7240"/>
    <w:rsid w:val="00EE7260"/>
    <w:rsid w:val="00EE752C"/>
    <w:rsid w:val="00EE7993"/>
    <w:rsid w:val="00EF0453"/>
    <w:rsid w:val="00EF0C42"/>
    <w:rsid w:val="00EF1A29"/>
    <w:rsid w:val="00EF1C76"/>
    <w:rsid w:val="00EF2259"/>
    <w:rsid w:val="00EF22EE"/>
    <w:rsid w:val="00EF232C"/>
    <w:rsid w:val="00EF30FD"/>
    <w:rsid w:val="00EF3927"/>
    <w:rsid w:val="00EF3C1A"/>
    <w:rsid w:val="00EF4154"/>
    <w:rsid w:val="00EF48BF"/>
    <w:rsid w:val="00EF4D85"/>
    <w:rsid w:val="00EF4E88"/>
    <w:rsid w:val="00EF58F3"/>
    <w:rsid w:val="00EF6FD7"/>
    <w:rsid w:val="00EF7AD7"/>
    <w:rsid w:val="00EF7EA7"/>
    <w:rsid w:val="00EF7FA6"/>
    <w:rsid w:val="00EF7FFD"/>
    <w:rsid w:val="00F0076F"/>
    <w:rsid w:val="00F00875"/>
    <w:rsid w:val="00F00B37"/>
    <w:rsid w:val="00F012AE"/>
    <w:rsid w:val="00F018CE"/>
    <w:rsid w:val="00F01AA6"/>
    <w:rsid w:val="00F02B17"/>
    <w:rsid w:val="00F02F9D"/>
    <w:rsid w:val="00F02FEB"/>
    <w:rsid w:val="00F0306E"/>
    <w:rsid w:val="00F030FA"/>
    <w:rsid w:val="00F03AFA"/>
    <w:rsid w:val="00F03B0E"/>
    <w:rsid w:val="00F05036"/>
    <w:rsid w:val="00F05AE5"/>
    <w:rsid w:val="00F072FA"/>
    <w:rsid w:val="00F0790B"/>
    <w:rsid w:val="00F1046B"/>
    <w:rsid w:val="00F10548"/>
    <w:rsid w:val="00F1121D"/>
    <w:rsid w:val="00F11904"/>
    <w:rsid w:val="00F126B7"/>
    <w:rsid w:val="00F1281A"/>
    <w:rsid w:val="00F13520"/>
    <w:rsid w:val="00F13578"/>
    <w:rsid w:val="00F13BF4"/>
    <w:rsid w:val="00F13DC6"/>
    <w:rsid w:val="00F14236"/>
    <w:rsid w:val="00F14E79"/>
    <w:rsid w:val="00F1510F"/>
    <w:rsid w:val="00F1539A"/>
    <w:rsid w:val="00F15D8A"/>
    <w:rsid w:val="00F160E7"/>
    <w:rsid w:val="00F17AA5"/>
    <w:rsid w:val="00F17D6A"/>
    <w:rsid w:val="00F17F0D"/>
    <w:rsid w:val="00F208D3"/>
    <w:rsid w:val="00F20E66"/>
    <w:rsid w:val="00F2186A"/>
    <w:rsid w:val="00F224DF"/>
    <w:rsid w:val="00F22964"/>
    <w:rsid w:val="00F22BB6"/>
    <w:rsid w:val="00F22DE7"/>
    <w:rsid w:val="00F2342C"/>
    <w:rsid w:val="00F23570"/>
    <w:rsid w:val="00F238A0"/>
    <w:rsid w:val="00F238D2"/>
    <w:rsid w:val="00F24A4F"/>
    <w:rsid w:val="00F252D9"/>
    <w:rsid w:val="00F25532"/>
    <w:rsid w:val="00F25602"/>
    <w:rsid w:val="00F261C1"/>
    <w:rsid w:val="00F263EB"/>
    <w:rsid w:val="00F26422"/>
    <w:rsid w:val="00F26E28"/>
    <w:rsid w:val="00F3000E"/>
    <w:rsid w:val="00F304A5"/>
    <w:rsid w:val="00F307BF"/>
    <w:rsid w:val="00F30FD1"/>
    <w:rsid w:val="00F31383"/>
    <w:rsid w:val="00F324B7"/>
    <w:rsid w:val="00F33F32"/>
    <w:rsid w:val="00F349B0"/>
    <w:rsid w:val="00F349F4"/>
    <w:rsid w:val="00F34E74"/>
    <w:rsid w:val="00F35611"/>
    <w:rsid w:val="00F35A87"/>
    <w:rsid w:val="00F35AB8"/>
    <w:rsid w:val="00F36F9A"/>
    <w:rsid w:val="00F37076"/>
    <w:rsid w:val="00F375F3"/>
    <w:rsid w:val="00F37B41"/>
    <w:rsid w:val="00F40453"/>
    <w:rsid w:val="00F409E2"/>
    <w:rsid w:val="00F41491"/>
    <w:rsid w:val="00F42606"/>
    <w:rsid w:val="00F42C33"/>
    <w:rsid w:val="00F43E09"/>
    <w:rsid w:val="00F442C0"/>
    <w:rsid w:val="00F44308"/>
    <w:rsid w:val="00F44636"/>
    <w:rsid w:val="00F448F5"/>
    <w:rsid w:val="00F452FE"/>
    <w:rsid w:val="00F45B88"/>
    <w:rsid w:val="00F463E3"/>
    <w:rsid w:val="00F46FBD"/>
    <w:rsid w:val="00F47C2E"/>
    <w:rsid w:val="00F47F45"/>
    <w:rsid w:val="00F50313"/>
    <w:rsid w:val="00F50A54"/>
    <w:rsid w:val="00F50B01"/>
    <w:rsid w:val="00F50C9F"/>
    <w:rsid w:val="00F518FD"/>
    <w:rsid w:val="00F52438"/>
    <w:rsid w:val="00F52520"/>
    <w:rsid w:val="00F529BA"/>
    <w:rsid w:val="00F52CD7"/>
    <w:rsid w:val="00F52FE9"/>
    <w:rsid w:val="00F532B5"/>
    <w:rsid w:val="00F544B1"/>
    <w:rsid w:val="00F546D1"/>
    <w:rsid w:val="00F54A6D"/>
    <w:rsid w:val="00F54E5E"/>
    <w:rsid w:val="00F55168"/>
    <w:rsid w:val="00F55225"/>
    <w:rsid w:val="00F55BCA"/>
    <w:rsid w:val="00F567A7"/>
    <w:rsid w:val="00F56C8B"/>
    <w:rsid w:val="00F5734F"/>
    <w:rsid w:val="00F57586"/>
    <w:rsid w:val="00F57C4B"/>
    <w:rsid w:val="00F57EB0"/>
    <w:rsid w:val="00F61FAC"/>
    <w:rsid w:val="00F6292D"/>
    <w:rsid w:val="00F62F54"/>
    <w:rsid w:val="00F63E0F"/>
    <w:rsid w:val="00F64EF7"/>
    <w:rsid w:val="00F65913"/>
    <w:rsid w:val="00F65A13"/>
    <w:rsid w:val="00F65C79"/>
    <w:rsid w:val="00F66639"/>
    <w:rsid w:val="00F66FBB"/>
    <w:rsid w:val="00F67038"/>
    <w:rsid w:val="00F67915"/>
    <w:rsid w:val="00F7194C"/>
    <w:rsid w:val="00F7211A"/>
    <w:rsid w:val="00F72728"/>
    <w:rsid w:val="00F729C4"/>
    <w:rsid w:val="00F72AD8"/>
    <w:rsid w:val="00F72FA7"/>
    <w:rsid w:val="00F73096"/>
    <w:rsid w:val="00F7451A"/>
    <w:rsid w:val="00F7460C"/>
    <w:rsid w:val="00F74925"/>
    <w:rsid w:val="00F74AA9"/>
    <w:rsid w:val="00F74F1F"/>
    <w:rsid w:val="00F75127"/>
    <w:rsid w:val="00F75333"/>
    <w:rsid w:val="00F7536C"/>
    <w:rsid w:val="00F75850"/>
    <w:rsid w:val="00F761B3"/>
    <w:rsid w:val="00F761BD"/>
    <w:rsid w:val="00F7681C"/>
    <w:rsid w:val="00F771B4"/>
    <w:rsid w:val="00F7740B"/>
    <w:rsid w:val="00F775B3"/>
    <w:rsid w:val="00F802EA"/>
    <w:rsid w:val="00F803D8"/>
    <w:rsid w:val="00F80BF3"/>
    <w:rsid w:val="00F827A3"/>
    <w:rsid w:val="00F8338D"/>
    <w:rsid w:val="00F84132"/>
    <w:rsid w:val="00F84358"/>
    <w:rsid w:val="00F84D7F"/>
    <w:rsid w:val="00F84DCE"/>
    <w:rsid w:val="00F84EB1"/>
    <w:rsid w:val="00F85AFD"/>
    <w:rsid w:val="00F85CA7"/>
    <w:rsid w:val="00F85E53"/>
    <w:rsid w:val="00F86B1D"/>
    <w:rsid w:val="00F86E77"/>
    <w:rsid w:val="00F86ED0"/>
    <w:rsid w:val="00F90734"/>
    <w:rsid w:val="00F90838"/>
    <w:rsid w:val="00F90B58"/>
    <w:rsid w:val="00F90D52"/>
    <w:rsid w:val="00F91EA0"/>
    <w:rsid w:val="00F92584"/>
    <w:rsid w:val="00F925E2"/>
    <w:rsid w:val="00F9330D"/>
    <w:rsid w:val="00F944BC"/>
    <w:rsid w:val="00F959F6"/>
    <w:rsid w:val="00F9618C"/>
    <w:rsid w:val="00F96294"/>
    <w:rsid w:val="00F964B6"/>
    <w:rsid w:val="00F96FFD"/>
    <w:rsid w:val="00F978F9"/>
    <w:rsid w:val="00FA0004"/>
    <w:rsid w:val="00FA1EAD"/>
    <w:rsid w:val="00FA2A3D"/>
    <w:rsid w:val="00FA2F1C"/>
    <w:rsid w:val="00FA3499"/>
    <w:rsid w:val="00FA3B08"/>
    <w:rsid w:val="00FA3F5A"/>
    <w:rsid w:val="00FA503E"/>
    <w:rsid w:val="00FA564D"/>
    <w:rsid w:val="00FA5D98"/>
    <w:rsid w:val="00FA798B"/>
    <w:rsid w:val="00FA7B3E"/>
    <w:rsid w:val="00FA7DD8"/>
    <w:rsid w:val="00FB0335"/>
    <w:rsid w:val="00FB0A73"/>
    <w:rsid w:val="00FB1482"/>
    <w:rsid w:val="00FB1A5D"/>
    <w:rsid w:val="00FB1F6D"/>
    <w:rsid w:val="00FB213D"/>
    <w:rsid w:val="00FB351B"/>
    <w:rsid w:val="00FB380B"/>
    <w:rsid w:val="00FB3A64"/>
    <w:rsid w:val="00FB3C0B"/>
    <w:rsid w:val="00FB3D06"/>
    <w:rsid w:val="00FB4A4B"/>
    <w:rsid w:val="00FB4EFF"/>
    <w:rsid w:val="00FB559E"/>
    <w:rsid w:val="00FB5963"/>
    <w:rsid w:val="00FB59D2"/>
    <w:rsid w:val="00FB6178"/>
    <w:rsid w:val="00FB6787"/>
    <w:rsid w:val="00FB6CE5"/>
    <w:rsid w:val="00FB7B44"/>
    <w:rsid w:val="00FC0106"/>
    <w:rsid w:val="00FC081F"/>
    <w:rsid w:val="00FC19EA"/>
    <w:rsid w:val="00FC1DA5"/>
    <w:rsid w:val="00FC24AF"/>
    <w:rsid w:val="00FC2FDF"/>
    <w:rsid w:val="00FC350C"/>
    <w:rsid w:val="00FC36B2"/>
    <w:rsid w:val="00FC377B"/>
    <w:rsid w:val="00FC45F7"/>
    <w:rsid w:val="00FC48B4"/>
    <w:rsid w:val="00FC617A"/>
    <w:rsid w:val="00FC6ECC"/>
    <w:rsid w:val="00FC719A"/>
    <w:rsid w:val="00FC7733"/>
    <w:rsid w:val="00FC7927"/>
    <w:rsid w:val="00FD0091"/>
    <w:rsid w:val="00FD1ADE"/>
    <w:rsid w:val="00FD1CB2"/>
    <w:rsid w:val="00FD2242"/>
    <w:rsid w:val="00FD29C3"/>
    <w:rsid w:val="00FD2D7A"/>
    <w:rsid w:val="00FD309C"/>
    <w:rsid w:val="00FD30DA"/>
    <w:rsid w:val="00FD3400"/>
    <w:rsid w:val="00FD3783"/>
    <w:rsid w:val="00FD3C8E"/>
    <w:rsid w:val="00FD4097"/>
    <w:rsid w:val="00FD4659"/>
    <w:rsid w:val="00FD475A"/>
    <w:rsid w:val="00FD4A23"/>
    <w:rsid w:val="00FD55B3"/>
    <w:rsid w:val="00FD5DD4"/>
    <w:rsid w:val="00FD630A"/>
    <w:rsid w:val="00FD6DF3"/>
    <w:rsid w:val="00FD7138"/>
    <w:rsid w:val="00FD7C72"/>
    <w:rsid w:val="00FE065F"/>
    <w:rsid w:val="00FE0DD4"/>
    <w:rsid w:val="00FE0E3D"/>
    <w:rsid w:val="00FE1635"/>
    <w:rsid w:val="00FE18F2"/>
    <w:rsid w:val="00FE1AA0"/>
    <w:rsid w:val="00FE26B6"/>
    <w:rsid w:val="00FE456B"/>
    <w:rsid w:val="00FE4C2C"/>
    <w:rsid w:val="00FE4EAF"/>
    <w:rsid w:val="00FE5F84"/>
    <w:rsid w:val="00FE5F88"/>
    <w:rsid w:val="00FE6662"/>
    <w:rsid w:val="00FE69A1"/>
    <w:rsid w:val="00FE6F2F"/>
    <w:rsid w:val="00FE6FB3"/>
    <w:rsid w:val="00FE797F"/>
    <w:rsid w:val="00FF0469"/>
    <w:rsid w:val="00FF05A0"/>
    <w:rsid w:val="00FF10BF"/>
    <w:rsid w:val="00FF196D"/>
    <w:rsid w:val="00FF1AA6"/>
    <w:rsid w:val="00FF27DE"/>
    <w:rsid w:val="00FF3924"/>
    <w:rsid w:val="00FF3D4A"/>
    <w:rsid w:val="00FF3DA9"/>
    <w:rsid w:val="00FF4BD0"/>
    <w:rsid w:val="00FF4FCE"/>
    <w:rsid w:val="00FF544F"/>
    <w:rsid w:val="00FF5A1C"/>
    <w:rsid w:val="00FF5BB7"/>
    <w:rsid w:val="00FF60CB"/>
    <w:rsid w:val="00FF623F"/>
    <w:rsid w:val="00FF70F5"/>
    <w:rsid w:val="00FF7944"/>
    <w:rsid w:val="00FF7AED"/>
    <w:rsid w:val="014E52C7"/>
    <w:rsid w:val="02404022"/>
    <w:rsid w:val="02F9334A"/>
    <w:rsid w:val="04BB6011"/>
    <w:rsid w:val="05C068EB"/>
    <w:rsid w:val="079A5E3E"/>
    <w:rsid w:val="0A072DB6"/>
    <w:rsid w:val="0BAE2C4D"/>
    <w:rsid w:val="0D3B4EBB"/>
    <w:rsid w:val="103D6CFD"/>
    <w:rsid w:val="11F31059"/>
    <w:rsid w:val="132B2696"/>
    <w:rsid w:val="16657A77"/>
    <w:rsid w:val="188F4DBC"/>
    <w:rsid w:val="261332F5"/>
    <w:rsid w:val="27454B8F"/>
    <w:rsid w:val="29524E24"/>
    <w:rsid w:val="2B925CFA"/>
    <w:rsid w:val="2CEB0C53"/>
    <w:rsid w:val="2F565CA1"/>
    <w:rsid w:val="312C634A"/>
    <w:rsid w:val="329D4AFA"/>
    <w:rsid w:val="33F60296"/>
    <w:rsid w:val="35666A5B"/>
    <w:rsid w:val="37072544"/>
    <w:rsid w:val="385F690C"/>
    <w:rsid w:val="3B3C3A5E"/>
    <w:rsid w:val="4311712F"/>
    <w:rsid w:val="453779AD"/>
    <w:rsid w:val="45E8282B"/>
    <w:rsid w:val="46A2470C"/>
    <w:rsid w:val="478E1645"/>
    <w:rsid w:val="501C40BF"/>
    <w:rsid w:val="549C5253"/>
    <w:rsid w:val="5DC14E07"/>
    <w:rsid w:val="62490B14"/>
    <w:rsid w:val="636721B0"/>
    <w:rsid w:val="63896C89"/>
    <w:rsid w:val="67344343"/>
    <w:rsid w:val="68401A24"/>
    <w:rsid w:val="689A185D"/>
    <w:rsid w:val="789559D4"/>
    <w:rsid w:val="7A692C8E"/>
    <w:rsid w:val="7B88662C"/>
    <w:rsid w:val="7BAD1EBA"/>
    <w:rsid w:val="7EEC2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name="toc 3"/>
    <w:lsdException w:qFormat="1" w:unhideWhenUsed="0" w:uiPriority="39" w:name="toc 4"/>
    <w:lsdException w:qFormat="1" w:unhideWhenUsed="0" w:uiPriority="39" w:name="toc 5"/>
    <w:lsdException w:qFormat="1" w:unhideWhenUsed="0" w:uiPriority="39" w:name="toc 6"/>
    <w:lsdException w:qFormat="1" w:unhideWhenUsed="0" w:uiPriority="39" w:name="toc 7"/>
    <w:lsdException w:qFormat="1" w:unhideWhenUsed="0" w:uiPriority="39" w:name="toc 8"/>
    <w:lsdException w:qFormat="1" w:unhideWhenUsed="0" w:uiPriority="39" w:name="toc 9"/>
    <w:lsdException w:uiPriority="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3" w:lineRule="auto"/>
      <w:ind w:firstLine="628"/>
      <w:jc w:val="center"/>
      <w:outlineLvl w:val="1"/>
    </w:pPr>
    <w:rPr>
      <w:rFonts w:ascii="Arial" w:hAnsi="Arial" w:eastAsia="黑体"/>
      <w:b/>
      <w:bCs/>
      <w:sz w:val="32"/>
      <w:szCs w:val="32"/>
    </w:rPr>
  </w:style>
  <w:style w:type="paragraph" w:styleId="4">
    <w:name w:val="heading 3"/>
    <w:basedOn w:val="1"/>
    <w:next w:val="1"/>
    <w:link w:val="49"/>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7"/>
    <w:qFormat/>
    <w:uiPriority w:val="9"/>
    <w:pPr>
      <w:keepNext/>
      <w:keepLines/>
      <w:tabs>
        <w:tab w:val="left" w:pos="1008"/>
      </w:tabs>
      <w:spacing w:before="280" w:after="290" w:line="376" w:lineRule="auto"/>
      <w:ind w:firstLine="200" w:firstLineChars="200"/>
      <w:outlineLvl w:val="4"/>
    </w:pPr>
    <w:rPr>
      <w:rFonts w:cs="Calibri" w:asciiTheme="minorEastAsia" w:hAnsiTheme="minorEastAsia"/>
      <w:b/>
      <w:bCs/>
      <w:sz w:val="28"/>
      <w:szCs w:val="28"/>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39"/>
    <w:pPr>
      <w:ind w:left="1260"/>
      <w:jc w:val="left"/>
    </w:pPr>
    <w:rPr>
      <w:sz w:val="20"/>
      <w:szCs w:val="20"/>
    </w:rPr>
  </w:style>
  <w:style w:type="paragraph" w:styleId="8">
    <w:name w:val="Document Map"/>
    <w:basedOn w:val="1"/>
    <w:link w:val="62"/>
    <w:qFormat/>
    <w:uiPriority w:val="0"/>
    <w:rPr>
      <w:rFonts w:ascii="宋体"/>
      <w:sz w:val="18"/>
      <w:szCs w:val="18"/>
    </w:rPr>
  </w:style>
  <w:style w:type="paragraph" w:styleId="9">
    <w:name w:val="annotation text"/>
    <w:basedOn w:val="1"/>
    <w:link w:val="46"/>
    <w:semiHidden/>
    <w:qFormat/>
    <w:uiPriority w:val="99"/>
    <w:pPr>
      <w:jc w:val="left"/>
    </w:pPr>
    <w:rPr>
      <w:szCs w:val="20"/>
    </w:rPr>
  </w:style>
  <w:style w:type="paragraph" w:styleId="10">
    <w:name w:val="Body Text"/>
    <w:basedOn w:val="1"/>
    <w:link w:val="44"/>
    <w:qFormat/>
    <w:uiPriority w:val="0"/>
    <w:pPr>
      <w:spacing w:after="120"/>
    </w:pPr>
    <w:rPr>
      <w:sz w:val="24"/>
      <w:szCs w:val="20"/>
    </w:rPr>
  </w:style>
  <w:style w:type="paragraph" w:styleId="11">
    <w:name w:val="toc 5"/>
    <w:basedOn w:val="1"/>
    <w:next w:val="1"/>
    <w:semiHidden/>
    <w:qFormat/>
    <w:uiPriority w:val="39"/>
    <w:pPr>
      <w:ind w:left="840"/>
      <w:jc w:val="left"/>
    </w:pPr>
    <w:rPr>
      <w:sz w:val="20"/>
      <w:szCs w:val="20"/>
    </w:rPr>
  </w:style>
  <w:style w:type="paragraph" w:styleId="12">
    <w:name w:val="toc 3"/>
    <w:basedOn w:val="1"/>
    <w:next w:val="1"/>
    <w:semiHidden/>
    <w:qFormat/>
    <w:uiPriority w:val="39"/>
    <w:pPr>
      <w:ind w:left="420"/>
      <w:jc w:val="left"/>
    </w:pPr>
    <w:rPr>
      <w:sz w:val="20"/>
      <w:szCs w:val="20"/>
    </w:rPr>
  </w:style>
  <w:style w:type="paragraph" w:styleId="13">
    <w:name w:val="Plain Text"/>
    <w:basedOn w:val="1"/>
    <w:link w:val="39"/>
    <w:qFormat/>
    <w:uiPriority w:val="0"/>
    <w:rPr>
      <w:rFonts w:ascii="宋体" w:hAnsi="Courier New"/>
      <w:szCs w:val="20"/>
    </w:rPr>
  </w:style>
  <w:style w:type="paragraph" w:styleId="14">
    <w:name w:val="toc 8"/>
    <w:basedOn w:val="1"/>
    <w:next w:val="1"/>
    <w:semiHidden/>
    <w:qFormat/>
    <w:uiPriority w:val="39"/>
    <w:pPr>
      <w:ind w:left="1470"/>
      <w:jc w:val="left"/>
    </w:pPr>
    <w:rPr>
      <w:sz w:val="20"/>
      <w:szCs w:val="20"/>
    </w:rPr>
  </w:style>
  <w:style w:type="paragraph" w:styleId="15">
    <w:name w:val="Date"/>
    <w:basedOn w:val="1"/>
    <w:next w:val="1"/>
    <w:link w:val="51"/>
    <w:qFormat/>
    <w:uiPriority w:val="99"/>
    <w:pPr>
      <w:ind w:left="100" w:leftChars="2500"/>
    </w:pPr>
  </w:style>
  <w:style w:type="paragraph" w:styleId="16">
    <w:name w:val="Balloon Text"/>
    <w:basedOn w:val="1"/>
    <w:link w:val="43"/>
    <w:semiHidden/>
    <w:qFormat/>
    <w:uiPriority w:val="99"/>
    <w:rPr>
      <w:sz w:val="18"/>
      <w:szCs w:val="18"/>
    </w:rPr>
  </w:style>
  <w:style w:type="paragraph" w:styleId="17">
    <w:name w:val="footer"/>
    <w:basedOn w:val="1"/>
    <w:link w:val="42"/>
    <w:qFormat/>
    <w:uiPriority w:val="99"/>
    <w:pPr>
      <w:tabs>
        <w:tab w:val="center" w:pos="4153"/>
        <w:tab w:val="right" w:pos="8306"/>
      </w:tabs>
      <w:snapToGrid w:val="0"/>
      <w:jc w:val="left"/>
    </w:pPr>
    <w:rPr>
      <w:sz w:val="18"/>
      <w:szCs w:val="18"/>
    </w:rPr>
  </w:style>
  <w:style w:type="paragraph" w:styleId="18">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240" w:after="120"/>
      <w:jc w:val="left"/>
    </w:pPr>
    <w:rPr>
      <w:b/>
      <w:bCs/>
      <w:sz w:val="20"/>
      <w:szCs w:val="20"/>
    </w:rPr>
  </w:style>
  <w:style w:type="paragraph" w:styleId="20">
    <w:name w:val="toc 4"/>
    <w:basedOn w:val="1"/>
    <w:next w:val="1"/>
    <w:semiHidden/>
    <w:qFormat/>
    <w:uiPriority w:val="39"/>
    <w:pPr>
      <w:ind w:left="630"/>
      <w:jc w:val="left"/>
    </w:pPr>
    <w:rPr>
      <w:sz w:val="20"/>
      <w:szCs w:val="20"/>
    </w:rPr>
  </w:style>
  <w:style w:type="paragraph" w:styleId="21">
    <w:name w:val="toc 6"/>
    <w:basedOn w:val="1"/>
    <w:next w:val="1"/>
    <w:semiHidden/>
    <w:qFormat/>
    <w:uiPriority w:val="39"/>
    <w:pPr>
      <w:ind w:left="1050"/>
      <w:jc w:val="left"/>
    </w:pPr>
    <w:rPr>
      <w:sz w:val="20"/>
      <w:szCs w:val="20"/>
    </w:rPr>
  </w:style>
  <w:style w:type="paragraph" w:styleId="22">
    <w:name w:val="toc 2"/>
    <w:basedOn w:val="1"/>
    <w:next w:val="1"/>
    <w:qFormat/>
    <w:uiPriority w:val="39"/>
    <w:pPr>
      <w:spacing w:before="120"/>
      <w:ind w:left="210"/>
      <w:jc w:val="left"/>
    </w:pPr>
    <w:rPr>
      <w:i/>
      <w:iCs/>
      <w:sz w:val="20"/>
      <w:szCs w:val="20"/>
    </w:rPr>
  </w:style>
  <w:style w:type="paragraph" w:styleId="23">
    <w:name w:val="toc 9"/>
    <w:basedOn w:val="1"/>
    <w:next w:val="1"/>
    <w:semiHidden/>
    <w:qFormat/>
    <w:uiPriority w:val="39"/>
    <w:pPr>
      <w:ind w:left="1680"/>
      <w:jc w:val="left"/>
    </w:pPr>
    <w:rPr>
      <w:sz w:val="20"/>
      <w:szCs w:val="20"/>
    </w:r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rPr>
  </w:style>
  <w:style w:type="character" w:styleId="29">
    <w:name w:val="page number"/>
    <w:qFormat/>
    <w:uiPriority w:val="99"/>
    <w:rPr>
      <w:rFonts w:cs="Times New Roman"/>
    </w:rPr>
  </w:style>
  <w:style w:type="character" w:styleId="30">
    <w:name w:val="FollowedHyperlink"/>
    <w:qFormat/>
    <w:uiPriority w:val="0"/>
    <w:rPr>
      <w:color w:val="800080"/>
      <w:u w:val="none"/>
    </w:rPr>
  </w:style>
  <w:style w:type="character" w:styleId="31">
    <w:name w:val="Hyperlink"/>
    <w:basedOn w:val="27"/>
    <w:qFormat/>
    <w:uiPriority w:val="99"/>
    <w:rPr>
      <w:color w:val="0000FF"/>
      <w:u w:val="none"/>
    </w:rPr>
  </w:style>
  <w:style w:type="character" w:customStyle="1" w:styleId="32">
    <w:name w:val="Plain Text Char1"/>
    <w:semiHidden/>
    <w:qFormat/>
    <w:uiPriority w:val="99"/>
    <w:rPr>
      <w:rFonts w:ascii="宋体" w:hAnsi="Courier New" w:cs="Courier New"/>
      <w:kern w:val="2"/>
      <w:sz w:val="21"/>
      <w:szCs w:val="21"/>
    </w:rPr>
  </w:style>
  <w:style w:type="character" w:customStyle="1" w:styleId="33">
    <w:name w:val="hang1"/>
    <w:qFormat/>
    <w:uiPriority w:val="0"/>
    <w:rPr>
      <w:rFonts w:cs="Times New Roman"/>
    </w:rPr>
  </w:style>
  <w:style w:type="character" w:customStyle="1" w:styleId="34">
    <w:name w:val="纯文本 Char1"/>
    <w:qFormat/>
    <w:locked/>
    <w:uiPriority w:val="0"/>
    <w:rPr>
      <w:rFonts w:ascii="宋体" w:hAnsi="Courier New" w:eastAsia="宋体"/>
      <w:kern w:val="2"/>
      <w:sz w:val="21"/>
      <w:lang w:val="en-US" w:eastAsia="zh-CN"/>
    </w:rPr>
  </w:style>
  <w:style w:type="character" w:customStyle="1" w:styleId="35">
    <w:name w:val="Body Text Char1"/>
    <w:semiHidden/>
    <w:qFormat/>
    <w:uiPriority w:val="99"/>
    <w:rPr>
      <w:kern w:val="2"/>
      <w:sz w:val="21"/>
      <w:szCs w:val="24"/>
    </w:rPr>
  </w:style>
  <w:style w:type="character" w:customStyle="1" w:styleId="36">
    <w:name w:val="页眉 字符"/>
    <w:link w:val="18"/>
    <w:semiHidden/>
    <w:qFormat/>
    <w:uiPriority w:val="99"/>
    <w:rPr>
      <w:kern w:val="2"/>
      <w:sz w:val="18"/>
      <w:szCs w:val="18"/>
    </w:rPr>
  </w:style>
  <w:style w:type="character" w:customStyle="1" w:styleId="37">
    <w:name w:val="正文文本 Char1"/>
    <w:qFormat/>
    <w:uiPriority w:val="0"/>
    <w:rPr>
      <w:kern w:val="2"/>
      <w:sz w:val="24"/>
    </w:rPr>
  </w:style>
  <w:style w:type="character" w:customStyle="1" w:styleId="38">
    <w:name w:val="普通文字 Char2"/>
    <w:qFormat/>
    <w:locked/>
    <w:uiPriority w:val="0"/>
    <w:rPr>
      <w:rFonts w:ascii="宋体" w:hAnsi="Courier New" w:eastAsia="宋体"/>
    </w:rPr>
  </w:style>
  <w:style w:type="character" w:customStyle="1" w:styleId="39">
    <w:name w:val="纯文本 字符"/>
    <w:link w:val="13"/>
    <w:qFormat/>
    <w:locked/>
    <w:uiPriority w:val="0"/>
    <w:rPr>
      <w:rFonts w:ascii="宋体" w:hAnsi="Courier New" w:eastAsia="宋体"/>
      <w:kern w:val="2"/>
      <w:sz w:val="21"/>
      <w:lang w:val="en-US" w:eastAsia="zh-CN"/>
    </w:rPr>
  </w:style>
  <w:style w:type="character" w:customStyle="1" w:styleId="40">
    <w:name w:val="标题 2 字符"/>
    <w:link w:val="3"/>
    <w:qFormat/>
    <w:locked/>
    <w:uiPriority w:val="0"/>
    <w:rPr>
      <w:rFonts w:ascii="Arial" w:hAnsi="Arial" w:eastAsia="黑体"/>
      <w:b/>
      <w:kern w:val="2"/>
      <w:sz w:val="32"/>
      <w:lang w:val="en-US" w:eastAsia="zh-CN"/>
    </w:rPr>
  </w:style>
  <w:style w:type="character" w:customStyle="1" w:styleId="41">
    <w:name w:val="Char Char2"/>
    <w:qFormat/>
    <w:uiPriority w:val="0"/>
    <w:rPr>
      <w:rFonts w:ascii="Arial" w:hAnsi="Arial" w:eastAsia="黑体"/>
      <w:b/>
      <w:kern w:val="2"/>
      <w:sz w:val="32"/>
      <w:lang w:val="en-US" w:eastAsia="zh-CN"/>
    </w:rPr>
  </w:style>
  <w:style w:type="character" w:customStyle="1" w:styleId="42">
    <w:name w:val="页脚 字符"/>
    <w:link w:val="17"/>
    <w:qFormat/>
    <w:locked/>
    <w:uiPriority w:val="99"/>
    <w:rPr>
      <w:kern w:val="2"/>
      <w:sz w:val="18"/>
    </w:rPr>
  </w:style>
  <w:style w:type="character" w:customStyle="1" w:styleId="43">
    <w:name w:val="批注框文本 字符"/>
    <w:link w:val="16"/>
    <w:semiHidden/>
    <w:qFormat/>
    <w:uiPriority w:val="99"/>
    <w:rPr>
      <w:kern w:val="2"/>
      <w:sz w:val="16"/>
      <w:szCs w:val="0"/>
    </w:rPr>
  </w:style>
  <w:style w:type="character" w:customStyle="1" w:styleId="44">
    <w:name w:val="正文文本 字符"/>
    <w:link w:val="10"/>
    <w:qFormat/>
    <w:locked/>
    <w:uiPriority w:val="0"/>
    <w:rPr>
      <w:kern w:val="2"/>
      <w:sz w:val="24"/>
    </w:rPr>
  </w:style>
  <w:style w:type="character" w:customStyle="1" w:styleId="45">
    <w:name w:val="标题 2 Char1"/>
    <w:qFormat/>
    <w:uiPriority w:val="0"/>
    <w:rPr>
      <w:rFonts w:ascii="Arial" w:hAnsi="Arial" w:eastAsia="黑体"/>
      <w:b/>
      <w:kern w:val="2"/>
      <w:sz w:val="32"/>
      <w:lang w:val="en-US" w:eastAsia="zh-CN"/>
    </w:rPr>
  </w:style>
  <w:style w:type="character" w:customStyle="1" w:styleId="46">
    <w:name w:val="批注文字 字符"/>
    <w:link w:val="9"/>
    <w:semiHidden/>
    <w:qFormat/>
    <w:uiPriority w:val="99"/>
    <w:rPr>
      <w:kern w:val="2"/>
      <w:sz w:val="21"/>
      <w:szCs w:val="24"/>
    </w:rPr>
  </w:style>
  <w:style w:type="character" w:customStyle="1" w:styleId="47">
    <w:name w:val="标题 1 字符"/>
    <w:link w:val="2"/>
    <w:qFormat/>
    <w:locked/>
    <w:uiPriority w:val="9"/>
    <w:rPr>
      <w:rFonts w:eastAsia="宋体"/>
      <w:b/>
      <w:kern w:val="44"/>
      <w:sz w:val="44"/>
      <w:lang w:val="en-US" w:eastAsia="zh-CN"/>
    </w:rPr>
  </w:style>
  <w:style w:type="character" w:customStyle="1" w:styleId="48">
    <w:name w:val="bold1"/>
    <w:qFormat/>
    <w:uiPriority w:val="0"/>
    <w:rPr>
      <w:b/>
    </w:rPr>
  </w:style>
  <w:style w:type="character" w:customStyle="1" w:styleId="49">
    <w:name w:val="标题 3 字符"/>
    <w:link w:val="4"/>
    <w:qFormat/>
    <w:uiPriority w:val="0"/>
    <w:rPr>
      <w:b/>
      <w:bCs/>
      <w:kern w:val="2"/>
      <w:sz w:val="32"/>
      <w:szCs w:val="32"/>
    </w:rPr>
  </w:style>
  <w:style w:type="character" w:customStyle="1" w:styleId="50">
    <w:name w:val="apple-converted-space"/>
    <w:qFormat/>
    <w:uiPriority w:val="0"/>
    <w:rPr>
      <w:rFonts w:cs="Times New Roman"/>
    </w:rPr>
  </w:style>
  <w:style w:type="character" w:customStyle="1" w:styleId="51">
    <w:name w:val="日期 字符"/>
    <w:link w:val="15"/>
    <w:qFormat/>
    <w:locked/>
    <w:uiPriority w:val="99"/>
    <w:rPr>
      <w:kern w:val="2"/>
      <w:sz w:val="24"/>
    </w:rPr>
  </w:style>
  <w:style w:type="paragraph" w:customStyle="1" w:styleId="52">
    <w:name w:val="Char Char"/>
    <w:basedOn w:val="1"/>
    <w:qFormat/>
    <w:uiPriority w:val="0"/>
    <w:pPr>
      <w:widowControl/>
      <w:spacing w:after="160" w:line="240" w:lineRule="exact"/>
      <w:jc w:val="left"/>
    </w:pPr>
  </w:style>
  <w:style w:type="paragraph" w:customStyle="1" w:styleId="53">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4">
    <w:name w:val="列出段落1"/>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样式 样式 标题 3 + 加粗 + 加粗"/>
    <w:basedOn w:val="1"/>
    <w:qFormat/>
    <w:uiPriority w:val="0"/>
    <w:pPr>
      <w:tabs>
        <w:tab w:val="left" w:pos="420"/>
      </w:tabs>
      <w:ind w:left="420" w:hanging="420"/>
    </w:pPr>
  </w:style>
  <w:style w:type="paragraph" w:customStyle="1" w:styleId="56">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7">
    <w:name w:val="列出段落2"/>
    <w:basedOn w:val="1"/>
    <w:qFormat/>
    <w:uiPriority w:val="0"/>
    <w:pPr>
      <w:ind w:firstLine="420" w:firstLineChars="200"/>
    </w:pPr>
  </w:style>
  <w:style w:type="paragraph" w:customStyle="1" w:styleId="58">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59">
    <w:name w:val="样式 左侧:  2 字符 首行缩进:  2 字符"/>
    <w:basedOn w:val="1"/>
    <w:qFormat/>
    <w:uiPriority w:val="0"/>
    <w:pPr>
      <w:ind w:left="200" w:leftChars="200" w:firstLine="200" w:firstLineChars="200"/>
    </w:pPr>
    <w:rPr>
      <w:rFonts w:ascii="Verdana" w:hAnsi="Verdana"/>
      <w:szCs w:val="20"/>
    </w:rPr>
  </w:style>
  <w:style w:type="paragraph" w:customStyle="1" w:styleId="60">
    <w:name w:val="列出段落11"/>
    <w:basedOn w:val="1"/>
    <w:qFormat/>
    <w:uiPriority w:val="34"/>
    <w:pPr>
      <w:ind w:firstLine="420" w:firstLineChars="200"/>
    </w:pPr>
  </w:style>
  <w:style w:type="paragraph" w:customStyle="1" w:styleId="61">
    <w:name w:val="默认段落字体 Para Char Char Char Char Char Char Char Char Char1 Char"/>
    <w:basedOn w:val="1"/>
    <w:qFormat/>
    <w:uiPriority w:val="0"/>
    <w:rPr>
      <w:rFonts w:ascii="Tahoma" w:hAnsi="Tahoma"/>
      <w:sz w:val="24"/>
      <w:szCs w:val="20"/>
    </w:rPr>
  </w:style>
  <w:style w:type="character" w:customStyle="1" w:styleId="62">
    <w:name w:val="文档结构图 字符"/>
    <w:basedOn w:val="27"/>
    <w:link w:val="8"/>
    <w:qFormat/>
    <w:uiPriority w:val="0"/>
    <w:rPr>
      <w:rFonts w:ascii="宋体"/>
      <w:kern w:val="2"/>
      <w:sz w:val="18"/>
      <w:szCs w:val="18"/>
    </w:rPr>
  </w:style>
  <w:style w:type="paragraph" w:styleId="63">
    <w:name w:val="List Paragraph"/>
    <w:basedOn w:val="1"/>
    <w:link w:val="68"/>
    <w:qFormat/>
    <w:uiPriority w:val="34"/>
    <w:pPr>
      <w:ind w:firstLine="420" w:firstLineChars="200"/>
    </w:pPr>
  </w:style>
  <w:style w:type="paragraph" w:customStyle="1" w:styleId="64">
    <w:name w:val="0312表格"/>
    <w:basedOn w:val="1"/>
    <w:link w:val="65"/>
    <w:qFormat/>
    <w:uiPriority w:val="0"/>
    <w:pPr>
      <w:spacing w:line="360" w:lineRule="auto"/>
    </w:pPr>
    <w:rPr>
      <w:rFonts w:asciiTheme="minorEastAsia" w:hAnsiTheme="minorEastAsia"/>
      <w:sz w:val="24"/>
      <w:szCs w:val="28"/>
    </w:rPr>
  </w:style>
  <w:style w:type="character" w:customStyle="1" w:styleId="65">
    <w:name w:val="0312表格 字符"/>
    <w:basedOn w:val="27"/>
    <w:link w:val="64"/>
    <w:uiPriority w:val="0"/>
    <w:rPr>
      <w:rFonts w:asciiTheme="minorEastAsia" w:hAnsiTheme="minorEastAsia"/>
      <w:kern w:val="2"/>
      <w:sz w:val="24"/>
      <w:szCs w:val="28"/>
    </w:rPr>
  </w:style>
  <w:style w:type="character" w:customStyle="1" w:styleId="66">
    <w:name w:val="标题 4 字符"/>
    <w:basedOn w:val="27"/>
    <w:link w:val="5"/>
    <w:semiHidden/>
    <w:uiPriority w:val="0"/>
    <w:rPr>
      <w:rFonts w:asciiTheme="majorHAnsi" w:hAnsiTheme="majorHAnsi" w:eastAsiaTheme="majorEastAsia" w:cstheme="majorBidi"/>
      <w:b/>
      <w:bCs/>
      <w:kern w:val="2"/>
      <w:sz w:val="28"/>
      <w:szCs w:val="28"/>
    </w:rPr>
  </w:style>
  <w:style w:type="character" w:customStyle="1" w:styleId="67">
    <w:name w:val="标题 5 字符"/>
    <w:basedOn w:val="27"/>
    <w:link w:val="6"/>
    <w:qFormat/>
    <w:uiPriority w:val="9"/>
    <w:rPr>
      <w:rFonts w:cs="Calibri" w:asciiTheme="minorEastAsia" w:hAnsiTheme="minorEastAsia"/>
      <w:b/>
      <w:bCs/>
      <w:kern w:val="2"/>
      <w:sz w:val="28"/>
      <w:szCs w:val="28"/>
    </w:rPr>
  </w:style>
  <w:style w:type="character" w:customStyle="1" w:styleId="68">
    <w:name w:val="列出段落 字符"/>
    <w:link w:val="63"/>
    <w:qFormat/>
    <w:locked/>
    <w:uiPriority w:val="34"/>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15</Pages>
  <Words>802</Words>
  <Characters>820</Characters>
  <Lines>64</Lines>
  <Paragraphs>18</Paragraphs>
  <TotalTime>18</TotalTime>
  <ScaleCrop>false</ScaleCrop>
  <LinksUpToDate>false</LinksUpToDate>
  <CharactersWithSpaces>973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2020-11-06T10:23:00Z</dcterms:created>
  <dc:creator>USER</dc:creator>
  <cp:lastModifiedBy>八月未央</cp:lastModifiedBy>
  <cp:lastPrinted>2017-07-17T00:55:00Z</cp:lastPrinted>
  <dcterms:modified xsi:type="dcterms:W3CDTF">2025-05-06T12:05:35Z</dcterms:modified>
  <dc:title>南康市环宇招标代理有限公司</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1E353936B51C42788CC7BCC4B640D3AA_12</vt:lpwstr>
  </property>
  <property fmtid="{D5CDD505-2E9C-101B-9397-08002B2CF9AE}" pid="4" name="KSOTemplateDocerSaveRecord">
    <vt:lpwstr>eyJoZGlkIjoiYTgwNzY1NTZjYThhYWQ4ZDM1NDA5YzczOTAzOTkwNWEiLCJ1c2VySWQiOiIxMDUzNjU2ODAzIn0=</vt:lpwstr>
  </property>
</Properties>
</file>